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4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UNITED STATES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SECURITIES AND EXCHANGE COMMISSION </w:t>
      </w:r>
    </w:p>
    <w:p>
      <w:pPr>
        <w:pStyle w:val="TextBody"/>
        <w:bidi w:val="0"/>
        <w:spacing w:lineRule="auto" w:line="288" w:before="0" w:after="0"/>
        <w:jc w:val="center"/>
        <w:rPr/>
      </w:pPr>
      <w:r>
        <w:rPr>
          <w:rFonts w:ascii="Times New Roman;serif" w:hAnsi="Times New Roman;serif"/>
          <w:b/>
          <w:color w:val="000000"/>
          <w:sz w:val="18"/>
        </w:rPr>
        <w:t xml:space="preserve">WASHINGTON, DC 20549 </w:t>
      </w:r>
      <w:r>
        <w:rPr>
          <w:color w:val="000000"/>
        </w:rPr>
        <w:t> </w:t>
      </w:r>
    </w:p>
    <w:p>
      <w:pPr>
        <w:pStyle w:val="TextBody"/>
        <w:bidi w:val="0"/>
        <w:spacing w:lineRule="auto" w:line="240" w:before="0" w:after="40"/>
        <w:jc w:val="center"/>
        <w:rPr>
          <w:color w:val="000000"/>
        </w:rPr>
      </w:pPr>
      <w:r>
        <w:rPr>
          <w:color w:val="000000"/>
        </w:rPr>
        <w:t>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lineRule="auto" w:line="240" w:before="0" w:after="40"/>
        <w:jc w:val="center"/>
        <w:rPr>
          <w:color w:val="000000"/>
        </w:rPr>
      </w:pPr>
      <w:r>
        <w:rPr>
          <w:color w:val="000000"/>
        </w:rPr>
        <w:t> </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 xml:space="preserve">CURRENT REPORT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PURSUANT TO SECTION 13 OR 15(d)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OF THE SECURITIES EXCHANGE ACT OF 1934 </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Date of Report (Date of earliest event reported): May 7, 2026</w:t>
      </w:r>
    </w:p>
    <w:p>
      <w:pPr>
        <w:pStyle w:val="TextBody"/>
        <w:bidi w:val="0"/>
        <w:spacing w:lineRule="auto" w:line="240" w:before="0" w:after="40"/>
        <w:jc w:val="center"/>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drawing>
          <wp:inline distT="0" distB="0" distL="0" distR="0">
            <wp:extent cx="590550"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0550" cy="70485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i3 Verticals, Inc. </w:t>
      </w:r>
    </w:p>
    <w:p>
      <w:pPr>
        <w:pStyle w:val="TextBody"/>
        <w:bidi w:val="0"/>
        <w:spacing w:lineRule="auto" w:line="288" w:before="0" w:after="0"/>
        <w:jc w:val="center"/>
        <w:rPr/>
      </w:pPr>
      <w:r>
        <w:rPr>
          <w:rFonts w:ascii="Times New Roman;serif" w:hAnsi="Times New Roman;serif"/>
          <w:b/>
          <w:color w:val="000000"/>
          <w:sz w:val="14"/>
        </w:rPr>
        <w:t xml:space="preserve">(Exact name of registrant as specified in its charter) </w:t>
      </w:r>
      <w:r>
        <w:rPr>
          <w:color w:val="000000"/>
        </w:rPr>
        <w:t> </w:t>
      </w:r>
    </w:p>
    <w:p>
      <w:pPr>
        <w:pStyle w:val="TextBody"/>
        <w:bidi w:val="0"/>
        <w:spacing w:lineRule="auto" w:line="240" w:before="0" w:after="40"/>
        <w:jc w:val="center"/>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4193" w:type="dxa"/>
        <w:jc w:val="left"/>
        <w:tblInd w:w="0" w:type="dxa"/>
        <w:tblLayout w:type="fixed"/>
        <w:tblCellMar>
          <w:top w:w="28" w:type="dxa"/>
          <w:left w:w="28" w:type="dxa"/>
          <w:bottom w:w="28" w:type="dxa"/>
          <w:right w:w="28" w:type="dxa"/>
        </w:tblCellMar>
      </w:tblPr>
      <w:tblGrid>
        <w:gridCol w:w="564"/>
        <w:gridCol w:w="495"/>
        <w:gridCol w:w="501"/>
        <w:gridCol w:w="109"/>
        <w:gridCol w:w="109"/>
        <w:gridCol w:w="109"/>
        <w:gridCol w:w="294"/>
        <w:gridCol w:w="294"/>
        <w:gridCol w:w="296"/>
        <w:gridCol w:w="109"/>
        <w:gridCol w:w="109"/>
        <w:gridCol w:w="109"/>
        <w:gridCol w:w="320"/>
        <w:gridCol w:w="320"/>
        <w:gridCol w:w="455"/>
      </w:tblGrid>
      <w:tr>
        <w:trPr/>
        <w:tc>
          <w:tcPr>
            <w:tcW w:w="56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001-38532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82-4052852</w:t>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(State or Other Jurisdiction</w:t>
            </w:r>
          </w:p>
          <w:p>
            <w:pPr>
              <w:pStyle w:val="TableContents"/>
              <w:bidi w:val="0"/>
              <w:spacing w:lineRule="auto" w:line="240" w:before="0" w:after="20"/>
              <w:jc w:val="center"/>
              <w:rPr>
                <w:rFonts w:ascii="Times New Roman;serif" w:hAnsi="Times New Roman;serif"/>
                <w:b/>
                <w:color w:val="000000"/>
                <w:sz w:val="12"/>
              </w:rPr>
            </w:pPr>
            <w:r>
              <w:rPr>
                <w:rFonts w:ascii="Times New Roman;serif" w:hAnsi="Times New Roman;serif"/>
                <w:b/>
                <w:color w:val="000000"/>
                <w:sz w:val="12"/>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(Commission</w:t>
            </w:r>
          </w:p>
          <w:p>
            <w:pPr>
              <w:pStyle w:val="TableContents"/>
              <w:bidi w:val="0"/>
              <w:spacing w:lineRule="auto" w:line="240" w:before="0" w:after="20"/>
              <w:jc w:val="center"/>
              <w:rPr>
                <w:rFonts w:ascii="Times New Roman;serif" w:hAnsi="Times New Roman;serif"/>
                <w:b/>
                <w:color w:val="000000"/>
                <w:sz w:val="12"/>
              </w:rPr>
            </w:pPr>
            <w:r>
              <w:rPr>
                <w:rFonts w:ascii="Times New Roman;serif" w:hAnsi="Times New Roman;serif"/>
                <w:b/>
                <w:color w:val="000000"/>
                <w:sz w:val="12"/>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(I.R.S. Employer</w:t>
            </w:r>
          </w:p>
          <w:p>
            <w:pPr>
              <w:pStyle w:val="TableContents"/>
              <w:bidi w:val="0"/>
              <w:spacing w:lineRule="auto" w:line="240" w:before="0" w:after="20"/>
              <w:jc w:val="center"/>
              <w:rPr>
                <w:rFonts w:ascii="Times New Roman;serif" w:hAnsi="Times New Roman;serif"/>
                <w:b/>
                <w:color w:val="000000"/>
                <w:sz w:val="12"/>
              </w:rPr>
            </w:pPr>
            <w:r>
              <w:rPr>
                <w:rFonts w:ascii="Times New Roman;serif" w:hAnsi="Times New Roman;serif"/>
                <w:b/>
                <w:color w:val="000000"/>
                <w:sz w:val="12"/>
              </w:rPr>
              <w:t>Identification No.)</w:t>
            </w:r>
          </w:p>
        </w:tc>
      </w:tr>
      <w:tr>
        <w:trPr/>
        <w:tc>
          <w:tcPr>
            <w:tcW w:w="277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1"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40 Burton Hills Blvd., Suite 415</w:t>
            </w:r>
          </w:p>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Nashville, TN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37215</w:t>
            </w:r>
          </w:p>
        </w:tc>
      </w:tr>
      <w:tr>
        <w:trPr/>
        <w:tc>
          <w:tcPr>
            <w:tcW w:w="277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(Zip Code)</w:t>
            </w:r>
          </w:p>
        </w:tc>
      </w:tr>
    </w:tbl>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 xml:space="preserve">(615) 465-4487 </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 xml:space="preserve">(Registrant’s telephone number, including area code)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(Former name or former address, if changed since last report)</w: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Check the appropriate box if the Form 8-K filing is intended to simultaneously satisfy the filing obligation of the registrant under any of the following provisions (see General Instruction A.2. below): </w:t>
      </w:r>
    </w:p>
    <w:p>
      <w:pPr>
        <w:pStyle w:val="TextBody"/>
        <w:bidi w:val="0"/>
        <w:spacing w:lineRule="auto" w:line="288" w:before="0" w:after="0"/>
        <w:jc w:val="left"/>
        <w:rPr>
          <w:color w:val="000000"/>
        </w:rPr>
      </w:pPr>
      <w:r>
        <w:rPr>
          <w:color w:val="000000"/>
        </w:rPr>
        <w:t> </w:t>
      </w:r>
    </w:p>
    <w:tbl>
      <w:tblPr>
        <w:tblW w:w="6702" w:type="dxa"/>
        <w:jc w:val="left"/>
        <w:tblInd w:w="0" w:type="dxa"/>
        <w:tblLayout w:type="fixed"/>
        <w:tblCellMar>
          <w:top w:w="28" w:type="dxa"/>
          <w:left w:w="28" w:type="dxa"/>
          <w:bottom w:w="28" w:type="dxa"/>
          <w:right w:w="28" w:type="dxa"/>
        </w:tblCellMar>
      </w:tblPr>
      <w:tblGrid>
        <w:gridCol w:w="124"/>
        <w:gridCol w:w="109"/>
        <w:gridCol w:w="109"/>
        <w:gridCol w:w="1862"/>
        <w:gridCol w:w="1862"/>
        <w:gridCol w:w="26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Written communications pursuant to Rule 425 under the Securities Act (17 CFR 230.425)</w:t>
            </w:r>
          </w:p>
        </w:tc>
      </w:tr>
    </w:tbl>
    <w:tbl>
      <w:tblPr>
        <w:tblW w:w="6746" w:type="dxa"/>
        <w:jc w:val="left"/>
        <w:tblInd w:w="0" w:type="dxa"/>
        <w:tblLayout w:type="fixed"/>
        <w:tblCellMar>
          <w:top w:w="28" w:type="dxa"/>
          <w:left w:w="28" w:type="dxa"/>
          <w:bottom w:w="28" w:type="dxa"/>
          <w:right w:w="28" w:type="dxa"/>
        </w:tblCellMar>
      </w:tblPr>
      <w:tblGrid>
        <w:gridCol w:w="124"/>
        <w:gridCol w:w="109"/>
        <w:gridCol w:w="109"/>
        <w:gridCol w:w="1873"/>
        <w:gridCol w:w="1873"/>
        <w:gridCol w:w="26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Soliciting material pursuant to Rule 14a-12 under the Exchange Act (17 CFR 240.14a-12)</w:t>
            </w:r>
          </w:p>
        </w:tc>
      </w:tr>
    </w:tbl>
    <w:tbl>
      <w:tblPr>
        <w:tblW w:w="8366" w:type="dxa"/>
        <w:jc w:val="left"/>
        <w:tblInd w:w="0" w:type="dxa"/>
        <w:tblLayout w:type="fixed"/>
        <w:tblCellMar>
          <w:top w:w="28" w:type="dxa"/>
          <w:left w:w="28" w:type="dxa"/>
          <w:bottom w:w="28" w:type="dxa"/>
          <w:right w:w="28" w:type="dxa"/>
        </w:tblCellMar>
      </w:tblPr>
      <w:tblGrid>
        <w:gridCol w:w="124"/>
        <w:gridCol w:w="109"/>
        <w:gridCol w:w="109"/>
        <w:gridCol w:w="2348"/>
        <w:gridCol w:w="2348"/>
        <w:gridCol w:w="33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14d-2(b) under the Exchange Act (17 CFR 240.14d- 2(b))</w:t>
            </w:r>
          </w:p>
        </w:tc>
      </w:tr>
    </w:tbl>
    <w:tbl>
      <w:tblPr>
        <w:tblW w:w="8307" w:type="dxa"/>
        <w:jc w:val="left"/>
        <w:tblInd w:w="0" w:type="dxa"/>
        <w:tblLayout w:type="fixed"/>
        <w:tblCellMar>
          <w:top w:w="28" w:type="dxa"/>
          <w:left w:w="28" w:type="dxa"/>
          <w:bottom w:w="28" w:type="dxa"/>
          <w:right w:w="28" w:type="dxa"/>
        </w:tblCellMar>
      </w:tblPr>
      <w:tblGrid>
        <w:gridCol w:w="124"/>
        <w:gridCol w:w="109"/>
        <w:gridCol w:w="109"/>
        <w:gridCol w:w="2331"/>
        <w:gridCol w:w="2331"/>
        <w:gridCol w:w="33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13e-4(c) under the Exchange Act (17 CFR 240.13e- 4(c))</w:t>
            </w:r>
          </w:p>
        </w:tc>
      </w:tr>
    </w:tbl>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799" w:type="dxa"/>
        <w:jc w:val="left"/>
        <w:tblInd w:w="0" w:type="dxa"/>
        <w:tblLayout w:type="fixed"/>
        <w:tblCellMar>
          <w:top w:w="28" w:type="dxa"/>
          <w:left w:w="28" w:type="dxa"/>
          <w:bottom w:w="28" w:type="dxa"/>
          <w:right w:w="28" w:type="dxa"/>
        </w:tblCellMar>
      </w:tblPr>
      <w:tblGrid>
        <w:gridCol w:w="1142"/>
        <w:gridCol w:w="997"/>
        <w:gridCol w:w="1011"/>
        <w:gridCol w:w="474"/>
        <w:gridCol w:w="474"/>
        <w:gridCol w:w="476"/>
        <w:gridCol w:w="945"/>
        <w:gridCol w:w="945"/>
        <w:gridCol w:w="1335"/>
      </w:tblGrid>
      <w:tr>
        <w:trPr/>
        <w:tc>
          <w:tcPr>
            <w:tcW w:w="114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Trading Symbol(s)</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Name of each exchange on which registered</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$0.0001 Par Value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IIIV</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40" w:before="0" w:after="0"/>
        <w:jc w:val="right"/>
        <w:rPr/>
      </w:pPr>
      <w:r>
        <w:rPr>
          <w:rFonts w:ascii="Times New Roman;serif" w:hAnsi="Times New Roman;serif"/>
          <w:b w:val="false"/>
          <w:color w:val="000000"/>
          <w:sz w:val="16"/>
        </w:rPr>
        <w:t>Emerging growth company.  </w:t>
      </w:r>
      <w:r>
        <w:rPr>
          <w:color w:val="000000"/>
        </w:rPr>
        <w:t>☐</w:t>
      </w:r>
    </w:p>
    <w:p>
      <w:pPr>
        <w:pStyle w:val="TextBody"/>
        <w:bidi w:val="0"/>
        <w:spacing w:before="0" w:after="0"/>
        <w:jc w:val="right"/>
        <w:rPr/>
      </w:pPr>
      <w:r>
        <w:rPr/>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provided in General Instruction B.2 of Form 8-K, the information contained in Item 2.02 and 7.01 of this Current Report on Form 8-K (including Exhibits 99.1 and 99.2 hereto) shall not be deemed to be “filed” for purposes of Section 18 of the Securities Exchange Act of 1934, as amended, nor shall such information be deemed to be incorporated by reference in any filing under the Securities Act of 1933, as amended, except as shall be expressly set forth by specific reference in such a filing.</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May 7, 2026, i3 Verticals, Inc. (the “Company”) issued a press release announcing the results of its operations for the three and six months ended March 31, 2026. A copy of the press release is furnished as Exhibit 99.1 hereto and is hereby incorporated by reference into this Item 2.02.</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also prepared a supplemental presentation (the “Supplemental Presentation”) providing certain supplemental financial information for the three months ended March 31, 2026. A copy of the Supplemental Presentation is furnished as Exhibit 99.2 hereto and is hereby incorporated by reference into this Item 7.01. A copy of the Supplemental Presentation is also available on the Investors section of the Company’s website, www.i3verticals.com.</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(d) </w:t>
      </w:r>
      <w:r>
        <w:rPr>
          <w:rFonts w:ascii="Times New Roman;serif" w:hAnsi="Times New Roman;serif"/>
          <w:b w:val="false"/>
          <w:i/>
          <w:color w:val="000000"/>
          <w:sz w:val="20"/>
        </w:rPr>
        <w:t>Exhibits:</w:t>
      </w:r>
    </w:p>
    <w:tbl>
      <w:tblPr>
        <w:tblW w:w="8036"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46"/>
        <w:gridCol w:w="1946"/>
        <w:gridCol w:w="2753"/>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verticalsq2fy2026earning.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verticalsq2fy2026earning.htm">
              <w:r>
                <w:rPr>
                  <w:rStyle w:val="InternetLink"/>
                  <w:rFonts w:ascii="Times New Roman;serif" w:hAnsi="Times New Roman;serif"/>
                  <w:b w:val="false"/>
                  <w:color w:val="0000FF"/>
                  <w:sz w:val="20"/>
                  <w:u w:val="single"/>
                </w:rPr>
                <w:t>Press release issued by i3 Verticals, Inc. on May 7,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supplementalpresentation.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pplementalpresentation.htm">
              <w:r>
                <w:rPr>
                  <w:rStyle w:val="InternetLink"/>
                  <w:rFonts w:ascii="Times New Roman;serif" w:hAnsi="Times New Roman;serif"/>
                  <w:b w:val="false"/>
                  <w:color w:val="0000FF"/>
                  <w:sz w:val="20"/>
                  <w:u w:val="single"/>
                </w:rPr>
                <w:t>Supplemental Presentation</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50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May 7, 2026</w:t>
      </w:r>
    </w:p>
    <w:p>
      <w:pPr>
        <w:pStyle w:val="TextBody"/>
        <w:bidi w:val="0"/>
        <w:spacing w:before="0" w:after="0"/>
        <w:jc w:val="left"/>
        <w:rPr/>
      </w:pPr>
      <w:r>
        <w:rPr/>
      </w:r>
    </w:p>
    <w:tbl>
      <w:tblPr>
        <w:tblW w:w="6409" w:type="dxa"/>
        <w:jc w:val="right"/>
        <w:tblInd w:w="0" w:type="dxa"/>
        <w:tblLayout w:type="fixed"/>
        <w:tblCellMar>
          <w:top w:w="28" w:type="dxa"/>
          <w:left w:w="28" w:type="dxa"/>
          <w:bottom w:w="28" w:type="dxa"/>
          <w:right w:w="28" w:type="dxa"/>
        </w:tblCellMar>
      </w:tblPr>
      <w:tblGrid>
        <w:gridCol w:w="234"/>
        <w:gridCol w:w="206"/>
        <w:gridCol w:w="206"/>
        <w:gridCol w:w="206"/>
        <w:gridCol w:w="206"/>
        <w:gridCol w:w="206"/>
        <w:gridCol w:w="1482"/>
        <w:gridCol w:w="1482"/>
        <w:gridCol w:w="2181"/>
      </w:tblGrid>
      <w:tr>
        <w:trPr/>
        <w:tc>
          <w:tcPr>
            <w:tcW w:w="23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9" w:type="dxa"/>
            <w:gridSpan w:val="9"/>
            <w:tcBorders/>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i3 VERTICALS, INC.</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Geoff Smith</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Geoff Smith</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2095500" cy="9525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2095500" cy="9525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80"/>
        <w:jc w:val="center"/>
        <w:rPr>
          <w:rFonts w:ascii="Arial;sans-serif" w:hAnsi="Arial;sans-serif"/>
          <w:b/>
          <w:color w:val="000000"/>
          <w:sz w:val="24"/>
        </w:rPr>
      </w:pPr>
      <w:r>
        <w:rPr>
          <w:rFonts w:ascii="Arial;sans-serif" w:hAnsi="Arial;sans-serif"/>
          <w:b/>
          <w:color w:val="000000"/>
          <w:sz w:val="24"/>
        </w:rPr>
        <w:t>i3 VERTICALS REPORTS SECOND QUARTER 2026 FINANCIAL RESULTS</w:t>
      </w:r>
    </w:p>
    <w:p>
      <w:pPr>
        <w:pStyle w:val="TextBody"/>
        <w:bidi w:val="0"/>
        <w:spacing w:lineRule="auto" w:line="288" w:before="0" w:after="120"/>
        <w:jc w:val="both"/>
        <w:rPr/>
      </w:pPr>
      <w:r>
        <w:rPr>
          <w:rFonts w:ascii="Arial;sans-serif" w:hAnsi="Arial;sans-serif"/>
          <w:b/>
          <w:color w:val="000000"/>
          <w:sz w:val="20"/>
        </w:rPr>
        <w:t xml:space="preserve">NASHVILLE, Tenn. </w:t>
      </w:r>
      <w:r>
        <w:rPr>
          <w:rFonts w:ascii="Arial;sans-serif" w:hAnsi="Arial;sans-serif"/>
          <w:b w:val="false"/>
          <w:color w:val="000000"/>
          <w:sz w:val="20"/>
        </w:rPr>
        <w:t>(May 7, 2026) – i3 Verticals, Inc. (Nasdaq: IIIV) (“i3 Verticals” or the “Company”) today reported its financial results for the fiscal second quarter ended March 31, 2026.</w:t>
      </w:r>
    </w:p>
    <w:p>
      <w:pPr>
        <w:pStyle w:val="TextBody"/>
        <w:bidi w:val="0"/>
        <w:spacing w:lineRule="auto" w:line="288" w:before="0" w:after="120"/>
        <w:jc w:val="both"/>
        <w:rPr/>
      </w:pPr>
      <w:r>
        <w:rPr>
          <w:rFonts w:ascii="Arial;sans-serif" w:hAnsi="Arial;sans-serif"/>
          <w:b/>
          <w:color w:val="000000"/>
          <w:sz w:val="20"/>
        </w:rPr>
        <w:t>Highlights from continuing operations</w:t>
      </w:r>
      <w:r>
        <w:rPr>
          <w:rFonts w:ascii="Arial;sans-serif" w:hAnsi="Arial;sans-serif"/>
          <w:b/>
          <w:color w:val="000000"/>
          <w:sz w:val="13"/>
        </w:rPr>
        <w:t>1</w:t>
      </w:r>
      <w:r>
        <w:rPr>
          <w:color w:val="000000"/>
        </w:rPr>
        <w:t xml:space="preserve"> </w:t>
      </w:r>
      <w:r>
        <w:rPr>
          <w:rFonts w:ascii="Arial;sans-serif" w:hAnsi="Arial;sans-serif"/>
          <w:b/>
          <w:color w:val="000000"/>
          <w:sz w:val="20"/>
        </w:rPr>
        <w:t xml:space="preserve">for the three and six months ended March 31, 2026 vs. 2025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Second quarter revenue from continuing operations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was $57.5 million, an increase of 6.2% over the prior year's second quarter. Revenue from continuing operations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for the six months ended March 31, 2026, was $110.2 million, an increase of 3.6% over the prior year's first six months.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Second quarter net income from continuing operations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was $2.2 million, compared to net income from continuing operations</w:t>
      </w:r>
      <w:r>
        <w:rPr>
          <w:rFonts w:ascii="Arial;sans-serif" w:hAnsi="Arial;sans-serif"/>
          <w:b w:val="false"/>
          <w:color w:val="000000"/>
          <w:sz w:val="13"/>
        </w:rPr>
        <w:t xml:space="preserve">1 </w:t>
      </w:r>
      <w:r>
        <w:rPr>
          <w:rFonts w:ascii="Arial;sans-serif" w:hAnsi="Arial;sans-serif"/>
          <w:b w:val="false"/>
          <w:color w:val="000000"/>
          <w:sz w:val="20"/>
        </w:rPr>
        <w:t>of $2.3 million for the prior year's second quarter. Net income from continuing operations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for the six months ended March 31, 2026, was $3.3 million, compared to net income from continuing operations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of $5.1 million in the prior year's first six months.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Second quarter net income from continuing operations attributable to i3 Verticals, Inc.</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was $1.5 million, compared to net income from continuing operations attributable to i3 Verticals, Inc.</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of $1.0 million in the prior year's second quarter. Net income from continuing operations attributable to i3 Verticals, Inc.</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for the six months ended March 31, 2026, was $2.0 million, compared to net income from continuing operations attributable to i3 Verticals, Inc.</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of $2.9 million in the prior year's first six months.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Second quarter adjusted EBITDA from continuing operations</w:t>
      </w:r>
      <w:r>
        <w:rPr>
          <w:rFonts w:ascii="Arial;sans-serif" w:hAnsi="Arial;sans-serif"/>
          <w:b w:val="false"/>
          <w:color w:val="000000"/>
          <w:sz w:val="13"/>
        </w:rPr>
        <w:t>1,2</w:t>
      </w:r>
      <w:r>
        <w:rPr>
          <w:color w:val="000000"/>
        </w:rPr>
        <w:t xml:space="preserve"> </w:t>
      </w:r>
      <w:r>
        <w:rPr>
          <w:rFonts w:ascii="Arial;sans-serif" w:hAnsi="Arial;sans-serif"/>
          <w:b w:val="false"/>
          <w:color w:val="000000"/>
          <w:sz w:val="20"/>
        </w:rPr>
        <w:t>was $16.6 million, an increase of 4.7% over the prior year's second quarter. Adjusted EBITDA from continuing operations</w:t>
      </w:r>
      <w:r>
        <w:rPr>
          <w:rFonts w:ascii="Arial;sans-serif" w:hAnsi="Arial;sans-serif"/>
          <w:b w:val="false"/>
          <w:color w:val="000000"/>
          <w:sz w:val="13"/>
        </w:rPr>
        <w:t xml:space="preserve">1,2 </w:t>
      </w:r>
      <w:r>
        <w:rPr>
          <w:rFonts w:ascii="Arial;sans-serif" w:hAnsi="Arial;sans-serif"/>
          <w:b w:val="false"/>
          <w:color w:val="000000"/>
          <w:sz w:val="20"/>
        </w:rPr>
        <w:t>for the six months ended March 31, 2026, was $30.2 million as compared to $30.4 million in the prior year's first six months.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Second quarter adjusted EBITDA from continuing operations</w:t>
      </w:r>
      <w:r>
        <w:rPr>
          <w:rFonts w:ascii="Arial;sans-serif" w:hAnsi="Arial;sans-serif"/>
          <w:b w:val="false"/>
          <w:color w:val="000000"/>
          <w:sz w:val="13"/>
        </w:rPr>
        <w:t>1,2</w:t>
      </w:r>
      <w:r>
        <w:rPr>
          <w:color w:val="000000"/>
        </w:rPr>
        <w:t xml:space="preserve"> </w:t>
      </w:r>
      <w:r>
        <w:rPr>
          <w:rFonts w:ascii="Arial;sans-serif" w:hAnsi="Arial;sans-serif"/>
          <w:b w:val="false"/>
          <w:color w:val="000000"/>
          <w:sz w:val="20"/>
        </w:rPr>
        <w:t>as a percentage of revenue was 28.8%, compared to 29.3% in the prior year's second quarter. Adjusted EBITDA from continuing operations</w:t>
      </w:r>
      <w:r>
        <w:rPr>
          <w:rFonts w:ascii="Arial;sans-serif" w:hAnsi="Arial;sans-serif"/>
          <w:b w:val="false"/>
          <w:color w:val="000000"/>
          <w:sz w:val="13"/>
        </w:rPr>
        <w:t>1,2</w:t>
      </w:r>
      <w:r>
        <w:rPr>
          <w:color w:val="000000"/>
        </w:rPr>
        <w:t xml:space="preserve"> </w:t>
      </w:r>
      <w:r>
        <w:rPr>
          <w:rFonts w:ascii="Arial;sans-serif" w:hAnsi="Arial;sans-serif"/>
          <w:b w:val="false"/>
          <w:color w:val="000000"/>
          <w:sz w:val="20"/>
        </w:rPr>
        <w:t>as a percentage of revenue for the six months ended March 31, 2026, was 27.4%, compared to 28.6% in the prior year's first six months.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Diluted net income per share attributable to Class A common stockholders from continuing operations</w:t>
      </w:r>
      <w:r>
        <w:rPr>
          <w:rFonts w:ascii="Arial;sans-serif" w:hAnsi="Arial;sans-serif"/>
          <w:b w:val="false"/>
          <w:color w:val="000000"/>
          <w:sz w:val="13"/>
        </w:rPr>
        <w:t>1,3</w:t>
      </w:r>
      <w:r>
        <w:rPr>
          <w:color w:val="000000"/>
        </w:rPr>
        <w:t xml:space="preserve"> </w:t>
      </w:r>
      <w:r>
        <w:rPr>
          <w:rFonts w:ascii="Arial;sans-serif" w:hAnsi="Arial;sans-serif"/>
          <w:b w:val="false"/>
          <w:color w:val="000000"/>
          <w:sz w:val="20"/>
        </w:rPr>
        <w:t>was $0.07, compared to diluted net income per share attributable to Class A common stockholders from continuing operations</w:t>
      </w:r>
      <w:r>
        <w:rPr>
          <w:rFonts w:ascii="Arial;sans-serif" w:hAnsi="Arial;sans-serif"/>
          <w:b w:val="false"/>
          <w:color w:val="000000"/>
          <w:sz w:val="13"/>
        </w:rPr>
        <w:t>1,3</w:t>
      </w:r>
      <w:r>
        <w:rPr>
          <w:color w:val="000000"/>
        </w:rPr>
        <w:t xml:space="preserve"> </w:t>
      </w:r>
      <w:r>
        <w:rPr>
          <w:rFonts w:ascii="Arial;sans-serif" w:hAnsi="Arial;sans-serif"/>
          <w:b w:val="false"/>
          <w:color w:val="000000"/>
          <w:sz w:val="20"/>
        </w:rPr>
        <w:t>of $0.04 in the prior year's second quarter. Diluted net income per share attributable to Class A common stockholders from continuing operations</w:t>
      </w:r>
      <w:r>
        <w:rPr>
          <w:rFonts w:ascii="Arial;sans-serif" w:hAnsi="Arial;sans-serif"/>
          <w:b w:val="false"/>
          <w:color w:val="000000"/>
          <w:sz w:val="13"/>
        </w:rPr>
        <w:t>1,3</w:t>
      </w:r>
      <w:r>
        <w:rPr>
          <w:color w:val="000000"/>
        </w:rPr>
        <w:t xml:space="preserve"> </w:t>
      </w:r>
      <w:r>
        <w:rPr>
          <w:rFonts w:ascii="Arial;sans-serif" w:hAnsi="Arial;sans-serif"/>
          <w:b w:val="false"/>
          <w:color w:val="000000"/>
          <w:sz w:val="20"/>
        </w:rPr>
        <w:t>was $0.09 in the six months ended March 31, 2026, compared to diluted net income per share attributable to Class A common stockholders from continuing operations</w:t>
      </w:r>
      <w:r>
        <w:rPr>
          <w:rFonts w:ascii="Arial;sans-serif" w:hAnsi="Arial;sans-serif"/>
          <w:b w:val="false"/>
          <w:color w:val="000000"/>
          <w:sz w:val="13"/>
        </w:rPr>
        <w:t>1,3</w:t>
      </w:r>
      <w:r>
        <w:rPr>
          <w:color w:val="000000"/>
        </w:rPr>
        <w:t xml:space="preserve"> </w:t>
      </w:r>
      <w:r>
        <w:rPr>
          <w:rFonts w:ascii="Arial;sans-serif" w:hAnsi="Arial;sans-serif"/>
          <w:b w:val="false"/>
          <w:color w:val="000000"/>
          <w:sz w:val="20"/>
        </w:rPr>
        <w:t>of $0.12 in the prior year's first six months.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Second quarter adjusted diluted earnings per share from continuing operations</w:t>
      </w:r>
      <w:r>
        <w:rPr>
          <w:rFonts w:ascii="Arial;sans-serif" w:hAnsi="Arial;sans-serif"/>
          <w:b w:val="false"/>
          <w:color w:val="000000"/>
          <w:sz w:val="13"/>
        </w:rPr>
        <w:t>1,2,3</w:t>
      </w:r>
      <w:r>
        <w:rPr>
          <w:rFonts w:ascii="Arial;sans-serif" w:hAnsi="Arial;sans-serif"/>
          <w:b w:val="false"/>
          <w:color w:val="000000"/>
          <w:sz w:val="20"/>
        </w:rPr>
        <w:t>, which gives effect to the Company's 25% estimated long-term effective tax rate</w:t>
      </w:r>
      <w:r>
        <w:rPr>
          <w:rFonts w:ascii="Arial;sans-serif" w:hAnsi="Arial;sans-serif"/>
          <w:b w:val="false"/>
          <w:color w:val="000000"/>
          <w:sz w:val="13"/>
        </w:rPr>
        <w:t>4</w:t>
      </w:r>
      <w:r>
        <w:rPr>
          <w:rFonts w:ascii="Arial;sans-serif" w:hAnsi="Arial;sans-serif"/>
          <w:b w:val="false"/>
          <w:color w:val="000000"/>
          <w:sz w:val="20"/>
        </w:rPr>
        <w:t>, was $0.32 compared to $0.29 for the prior year's second quarter. Non-GAAP adjusted diluted earnings per share from continuing operations</w:t>
      </w:r>
      <w:r>
        <w:rPr>
          <w:rFonts w:ascii="Arial;sans-serif" w:hAnsi="Arial;sans-serif"/>
          <w:b w:val="false"/>
          <w:color w:val="000000"/>
          <w:sz w:val="13"/>
        </w:rPr>
        <w:t xml:space="preserve">1,2,3 </w:t>
      </w:r>
      <w:r>
        <w:rPr>
          <w:rFonts w:ascii="Arial;sans-serif" w:hAnsi="Arial;sans-serif"/>
          <w:b w:val="false"/>
          <w:color w:val="000000"/>
          <w:sz w:val="20"/>
        </w:rPr>
        <w:t>for the six months ended March 31, 2026, was $0.57 compared to $0.56 for the prior year's first six months.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Annualized Recurring Revenue ("ARR") from continuing operations</w:t>
      </w:r>
      <w:r>
        <w:rPr>
          <w:rFonts w:ascii="Arial;sans-serif" w:hAnsi="Arial;sans-serif"/>
          <w:b w:val="false"/>
          <w:color w:val="000000"/>
          <w:sz w:val="13"/>
        </w:rPr>
        <w:t>1,5</w:t>
      </w:r>
      <w:r>
        <w:rPr>
          <w:color w:val="000000"/>
        </w:rPr>
        <w:t xml:space="preserve"> </w:t>
      </w:r>
      <w:r>
        <w:rPr>
          <w:rFonts w:ascii="Arial;sans-serif" w:hAnsi="Arial;sans-serif"/>
          <w:b w:val="false"/>
          <w:color w:val="000000"/>
          <w:sz w:val="20"/>
        </w:rPr>
        <w:t>for the three months ended March 31, 2026 and 2025 was $183.5 million and $164.5 million, respectively, representing a period-to-period growth rate of 11.6%.</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Greg Daily, Chairman and CEO of i3 Verticals, commented, "We are pleased with our second quarter results, which reflect continued progress in the execution of our strategy. Revenue from continuing operations grew 6% year over year, driven by strong performance across our recurring revenue streams, and annualized recurring revenue increased nearly 12% compared to the prior year.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"Across the public sector, we continue to invest thoughtfully in products with attractive long</w:t>
        <w:noBreakHyphen/>
        <w:t>term growth opportunities. At the same time, ongoing process improvements and efficiency initiatives position us well for margin expansion as we move through the remainder of the fiscal year.</w:t>
      </w:r>
    </w:p>
    <w:p>
      <w:pPr>
        <w:pStyle w:val="TextBody"/>
        <w:bidi w:val="0"/>
        <w:spacing w:before="0" w:after="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"With a strong balance sheet and a growing base of high</w:t>
        <w:noBreakHyphen/>
        <w:t>quality recurring revenue, we are excited about the opportunities ahead and confident in our ability to create long</w:t>
        <w:noBreakHyphen/>
        <w:t>term value."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IIIV Reports Second Quarter 2026 Financial Results</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6"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-MORE-</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2</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May 7, 2026</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See footnotes on the following page.</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1.As a result of the sale of the Company’s merchant services business (the "Merchant Services Business"), which was completed on September 20, 2024, and the sale of the Company's Healthcare revenue cycle management business ("Healthcare RCM Business"), which was completed on May 5, 2025, the historical results of the Merchant Services Business and the Healthcare RCM Business have been reflected in discontinued operations in the consolidated statement of operations included in this earnings release, and continuing operations reflect the Company's remaining operations after giving effect to such classifications. Prior period results have been recast to reflect this presentation.</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2.Represents a non-GAAP financial measure. For additional information regarding non-GAAP financial measures (including reconciliation information), see the attached schedules to this release.</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3.Diluted net income (loss) per share attributable to Class A common stockholders from continuing operations and adjusted diluted earnings per share from continuing operations both exclude discontinued operations of the Merchant Services Business and the Healthcare RCM Business but include the consolidated cash interest expense.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4.Corporate income tax expense is based on non-GAAP adjusted income before taxes from continuing operations and is calculated using a tax rate of 25.0% for both the six months ended March 31, 2026 and 2025, based on the estimated long-term effective tax rate, considering blended federal and state tax rates.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5.Annualized Recurring Revenue (ARR) is the annualized revenue derived from recurring sources where the Company has an ongoing contract with its customers. The Company believes revenue from recurring sources is a strategic priority. ARR is comprised of software-as-a-service (“SaaS”) arrangements, transaction-based software-revenue, software maintenance, recurring software-based services, payments revenue and other recurring revenue sources within the quarter. The sum of these revenue categories is multiplied by four to calculate ARR. ARR excludes revenue that is not recurring or is one-time in nature. The Company's management believes this metric provides useful information to investors by providing visibility regarding the ongoing revenue potential of the Company's business model and providing a clearer picture of its sustainable revenue base. Further, the Company's management uses ARR as a metric because it helps to assess the health and trajectory of the Company's business. The Company's management believes that focusing on ARR can orient the Company's sales and operations management towards long-term, reliable revenue growth. This focus on recurring revenue is particularly relevant for businesses operating under a subscription model, where customer retention and contract renewals play a significant role in long-term financial performance. ARR does not have a standardized definition and is therefore unlikely to be comparable to similarly titled measures presented by other companies. It should be reviewed independently of revenue, and it is not a forecast. Additionally, ARR does not take into account seasonality. The active contracts at the end of a reporting period used in calculating ARR may or may not be extended or renewed by the Company's customers.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IIIV Reports Second Quarter Fiscal Year 2026 Financial Results</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7"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-MORE-</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3</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May 7, 2026</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2026 Outlook</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The Company's practice is to provide annual guidance, excluding the impact of future acquisitions and transaction-related costs.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Company is providing the following revised outlook for the fiscal year ending September 30, 2026:</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19"/>
        <w:gridCol w:w="1423"/>
        <w:gridCol w:w="1431"/>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6"/>
      </w:tblGrid>
      <w:tr>
        <w:trPr/>
        <w:tc>
          <w:tcPr>
            <w:tcW w:w="161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Previous Outlook 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Revised Outlook Range</w:t>
            </w:r>
          </w:p>
        </w:tc>
      </w:tr>
      <w:tr>
        <w:trPr/>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Fiscal year ending September 30, 2026</w:t>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229,000 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Adjusted EBITDA (non-GAAP)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Adjusted diluted earnings per share</w:t>
            </w:r>
            <w:r>
              <w:rPr>
                <w:rFonts w:ascii="Arial;sans-serif" w:hAnsi="Arial;sans-serif"/>
                <w:b w:val="false"/>
                <w:color w:val="000000"/>
                <w:sz w:val="13"/>
              </w:rPr>
              <w:t>(1)</w:t>
            </w:r>
            <w:r>
              <w:rPr>
                <w:rFonts w:ascii="Arial;sans-serif" w:hAnsi="Arial;sans-serif"/>
                <w:b w:val="false"/>
                <w:color w:val="000000"/>
                <w:sz w:val="20"/>
              </w:rPr>
              <w:t>(non-GAAP)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_______________________</w:t>
      </w:r>
    </w:p>
    <w:p>
      <w:pPr>
        <w:pStyle w:val="TextBody"/>
        <w:bidi w:val="0"/>
        <w:spacing w:lineRule="auto" w:line="26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1.Assumes an effective tax rate of 25.0% (non-GAAP), based on the estimated long-term effective tax rate, considering blended federal and state tax rates. </w: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With respect to the “2026 Outlook” above, reconciliations of adjusted EBITDA from continuing operations and adjusted diluted earnings per share from continuing operations guidance to the closest corresponding GAAP measure on a forward-looking basis are not available without unreasonable efforts. This inability results from the inherent difficulty in forecasting generally and quantifying certain projected amounts that are necessary for such reconciliations. In particular, sufficient information is not available to calculate certain adjustments required for such reconciliations, including changes in the fair value of contingent consideration, income tax expense of i3 Verticals, Inc. and equity-based compensation expense. The Company expects these adjustments may have a potentially significant impact on future GAAP financial results.</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Conference Call</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The Company will host a conference call on Friday, May 8, 2026, at 8:30 a.m. ET, to discuss financial results and operations. To listen to the call live via telephone, participants should dial (844) 887-9399 approximately 10 minutes prior to the start of the call. A telephonic replay will be available from 11:30 a.m. ET on May 8, 2026, through May 14, 2026, by dialing (855) 669-9658 and entering Confirmation Code 6088860.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To listen to the call live via webcast, participants should visit the “Investors” section of the Company’s website, www.i3verticals.com, and go to the “Events” page approximately 10 minutes prior to the start of the call. The online replay will be available on this page of the Company’s website beginning shortly after the conclusion of the call and will remain available for 30 days. </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Non-GAAP Measures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This press release contains information prepared in conformity with GAAP as well as non-GAAP information. It is management’s intent to provide non-GAAP financial information to enhance understanding of the Company's consolidated financial information as prepared in accordance with GAAP. This non-GAAP information should be considered by the reader in addition to, but not instead of, the financial statements prepared in accordance with GAAP. Each non-GAAP financial measure and the most directly comparable GAAP financial measure are presented for historical periods so as not to imply that more emphasis should be placed on the non-GAAP measure. The non-GAAP financial information presented may be determined or calculated differently by other companies.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Additional information about non-GAAP financial measures, and a reconciliation of those measures to the most directly comparable GAAP measures, is included in the financial schedules of this release.</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About i3 Verticals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The Company provides mission-critical enterprise software solutions to public sector entities. These comprehensive cloud-native solutions address a broad range of government functions, including courts and public safety, public administration, utilities, transportation and schools. The Company’s mission is to enable state and local governments and related agencies to perform their functions and serve their constituents as effectively and efficiently as possible. With thousands of software installations across all 50 states and Canada, i3 Verticals is a leader in the public sector vertical. More information about the Company can be found at www.i3verticals.com.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IIIV Reports Second Quarter Fiscal Year 2026 Financial Results</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8"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4</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May 7, 2026</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This release contains forward-looking statements that are subject to risks and uncertainties. All statements other than statements of historical fact or relating to present facts or current conditions included in this release are forward-looking statements, including any statements regarding the Company's fiscal 2026 financial outlook for continuing operations and statements of a general economic or industry specific nature. Forward-looking statements give the Company's current expectations and projections relating to its financial condition, results of operations, guidance, plans, objectives, future performance and business. You can identify forward-looking statements by the fact that they do not relate strictly to historical or current facts. These statements may include words such as “anticipate,” “estimate,” “expect,” “project,” “plan,” “intend,” “believe,” “may,” “will,” “should,” “could have,” “exceed,” “significantly,” “likely” and other words and terms of similar meaning in connection with any discussion of the timing or nature of future operating or financial performance or other events.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forward-looking statements contained in this release are based on assumptions that we have made in light of the Company's industry experience and its perceptions of historical trends, current conditions, expected future developments and other factors we believe are appropriate under the circumstances. As you review and consider information presented herein, you should understand that these statements are not guarantees of future performance or results. They depend upon future events and are subject to risks, uncertainties (many of which are beyond the Company's control) and assumptions. Factors that could cause actual results to differ from those expressed or implied by our forward-looking statements include, among other things: ongoing and future economic and geopolitical conditions, including the impact of inflation, elevated interest rates, tariff and trade-related developments, ongoing military conflicts in the Middle East and Ukraine, the evolving legal, ethical, regulatory and operational landscape related to artificial intelligence technologies, competition in our industry and our ability to compete effectively, regulatory developments, the successful integration of acquired businesses, our ability to execute on our strategy and achieve our goals following the completion of the sale of our Merchant Services Business and Healthcare RCM Business, and future decisions made by us and our competitors. All of these factors are difficult or impossible to predict accurately and many of them are beyond our control. For a further list and description of these and other important risks and uncertainties that may affect our future operations, see Part I, Item 1A - Risk Factors in our most recent Annual Report on Form 10-K filed with the Securities and Exchange Commission, which we may further update in Part II, Item 1A - Risk Factors in Quarterly Reports on Form 10-Q we will file hereafter, and the risks and uncertainties identified in other filings filed with the Securities and Exchange Commission from time to time.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Any forward-looking statement made by us in this release speaks only as of the date of this release and we undertake no obligation to publicly update any forward-looking statement, whether as a result of new information, future developments or otherwise, except as may be required by law.</w:t>
      </w:r>
    </w:p>
    <w:tbl>
      <w:tblPr>
        <w:tblW w:w="3433" w:type="dxa"/>
        <w:jc w:val="center"/>
        <w:tblInd w:w="0" w:type="dxa"/>
        <w:tblLayout w:type="fixed"/>
        <w:tblCellMar>
          <w:top w:w="28" w:type="dxa"/>
          <w:left w:w="28" w:type="dxa"/>
          <w:bottom w:w="28" w:type="dxa"/>
          <w:right w:w="28" w:type="dxa"/>
        </w:tblCellMar>
      </w:tblPr>
      <w:tblGrid>
        <w:gridCol w:w="1176"/>
        <w:gridCol w:w="940"/>
        <w:gridCol w:w="945"/>
        <w:gridCol w:w="109"/>
        <w:gridCol w:w="109"/>
        <w:gridCol w:w="154"/>
      </w:tblGrid>
      <w:tr>
        <w:trPr/>
        <w:tc>
          <w:tcPr>
            <w:tcW w:w="117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Contact: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Clay Whitson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Strategy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(888) 251-0987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investorrelations@i3verticals.com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IIIV Reports Second Quarter Fiscal Year 2026 Financial Results</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9"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5</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May 7,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i3 Verticals, Inc. Consolidated Statements of Operations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046"/>
        <w:gridCol w:w="679"/>
        <w:gridCol w:w="687"/>
        <w:gridCol w:w="223"/>
        <w:gridCol w:w="738"/>
        <w:gridCol w:w="109"/>
        <w:gridCol w:w="109"/>
        <w:gridCol w:w="109"/>
        <w:gridCol w:w="109"/>
        <w:gridCol w:w="223"/>
        <w:gridCol w:w="738"/>
        <w:gridCol w:w="109"/>
        <w:gridCol w:w="109"/>
        <w:gridCol w:w="109"/>
        <w:gridCol w:w="109"/>
        <w:gridCol w:w="305"/>
        <w:gridCol w:w="305"/>
        <w:gridCol w:w="306"/>
        <w:gridCol w:w="109"/>
        <w:gridCol w:w="109"/>
        <w:gridCol w:w="109"/>
        <w:gridCol w:w="202"/>
        <w:gridCol w:w="759"/>
        <w:gridCol w:w="109"/>
        <w:gridCol w:w="109"/>
        <w:gridCol w:w="109"/>
        <w:gridCol w:w="109"/>
        <w:gridCol w:w="202"/>
        <w:gridCol w:w="759"/>
        <w:gridCol w:w="109"/>
        <w:gridCol w:w="109"/>
        <w:gridCol w:w="109"/>
        <w:gridCol w:w="109"/>
        <w:gridCol w:w="281"/>
        <w:gridCol w:w="281"/>
        <w:gridCol w:w="400"/>
      </w:tblGrid>
      <w:tr>
        <w:trPr/>
        <w:tc>
          <w:tcPr>
            <w:tcW w:w="104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2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Costs of services (excluding depreciation and amortization)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w:t>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fair value of contingent consideration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from operations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w:t>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expenses (income)</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w:t>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(74)%</w:t>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expenses (income)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w:t>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(64)%</w:t>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 from continuing operations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from discontinued operations, net of income taxes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w:t>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 from continuing operations attributable to non-controlling interest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from discontinued operations attributable to non-controlling interest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non-controlling interest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w:t>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 from continuing operations attributable to i3 Verticals, Inc.</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from discontinued operations attributable to i3 Verticals, Inc.</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i3 Verticals, Inc.</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 per share attributable to Class A common stockholders from continuing operations:</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per share attributable to Class A common stockholders from discontinued operations: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Weighted average shares of Class A common stock outstanding:</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Basic, for continuing operations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21,798,840 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23,834,233 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22,747,267 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23,691,648 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Diluted, for continuing operations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30,582,587 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24,133,738 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23,656,640 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24,081,232 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for discontinued operations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23,834,233 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22,747,267 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23,691,648 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for discontinued operations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23,834,233 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31,128,948 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23,691,648 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n/m =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IIIV Reports Second Quarter Fiscal Year 2026 Financial Results</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0"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6</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May 7,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i3 Verticals, Inc. Consolidated Balance Sheets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910"/>
        <w:gridCol w:w="2387"/>
        <w:gridCol w:w="2365"/>
        <w:gridCol w:w="196"/>
        <w:gridCol w:w="736"/>
        <w:gridCol w:w="109"/>
        <w:gridCol w:w="109"/>
        <w:gridCol w:w="109"/>
        <w:gridCol w:w="109"/>
        <w:gridCol w:w="211"/>
        <w:gridCol w:w="795"/>
        <w:gridCol w:w="169"/>
      </w:tblGrid>
      <w:tr>
        <w:trPr/>
        <w:tc>
          <w:tcPr>
            <w:tcW w:w="2910"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7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66,672 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58,467 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12,075 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137,625 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Capitalized software,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48,314 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248,469 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135,797 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 asset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49,058 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638,411 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 and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expenses and 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24,525 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37,678 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portion of 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70,689 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less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tax receivable agreement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32,191 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 less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14,844 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120,688 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Commitments and contingencies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Preferred stock, par value $0.0001 per share, 10,000,000 shares authorized; 0 shares issued and outstanding as of March 31, 2026 and September 30,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Class A common stock, par value $0.0001 per share, 150,000,000 shares authorized; 20,541,392 and 23,983,125 shares issued and outstanding as of March 31, 2026 and September 30, 2025,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Class B common stock, par value $0.0001 per share, 40,000,000 shares authorized; 8,381,681 and 8,381,681 shares issued and outstanding as of March 31, 2026 and September 30, 2025,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271,310 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earnings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118,270 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389,583 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128,140 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equity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517,723 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636,420 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638,411 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IIIV Reports Second Quarter Fiscal Year 2026 Financial Results</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1"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7</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May 7,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i3 Verticals, Inc. Consolidated Cash Flow Data</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in thousands)</w:t>
      </w:r>
    </w:p>
    <w:tbl>
      <w:tblPr>
        <w:tblW w:w="7104" w:type="dxa"/>
        <w:jc w:val="center"/>
        <w:tblInd w:w="0" w:type="dxa"/>
        <w:tblLayout w:type="fixed"/>
        <w:tblCellMar>
          <w:top w:w="28" w:type="dxa"/>
          <w:left w:w="28" w:type="dxa"/>
          <w:bottom w:w="28" w:type="dxa"/>
          <w:right w:w="28" w:type="dxa"/>
        </w:tblCellMar>
      </w:tblPr>
      <w:tblGrid>
        <w:gridCol w:w="1617"/>
        <w:gridCol w:w="1424"/>
        <w:gridCol w:w="1429"/>
        <w:gridCol w:w="211"/>
        <w:gridCol w:w="811"/>
        <w:gridCol w:w="109"/>
        <w:gridCol w:w="109"/>
        <w:gridCol w:w="109"/>
        <w:gridCol w:w="109"/>
        <w:gridCol w:w="211"/>
        <w:gridCol w:w="811"/>
        <w:gridCol w:w="154"/>
      </w:tblGrid>
      <w:tr>
        <w:trPr/>
        <w:tc>
          <w:tcPr>
            <w:tcW w:w="1617"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March 31,</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cash provided by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Reconciliation of GAAP to Non-GAAP Financial Measures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Company discloses the following non-GAAP financial measures in this earnings release:</w:t>
      </w:r>
    </w:p>
    <w:p>
      <w:pPr>
        <w:pStyle w:val="TextBody"/>
        <w:bidi w:val="0"/>
        <w:spacing w:lineRule="auto" w:line="288" w:before="0" w:after="120"/>
        <w:ind w:left="0" w:right="0" w:hanging="360"/>
        <w:jc w:val="both"/>
        <w:rPr/>
      </w:pPr>
      <w:r>
        <w:rPr>
          <w:color w:val="000000"/>
        </w:rPr>
        <w:t>•</w:t>
      </w:r>
      <w:r>
        <w:rPr>
          <w:rFonts w:ascii="Arial;sans-serif" w:hAnsi="Arial;sans-serif"/>
          <w:b/>
          <w:color w:val="000000"/>
          <w:sz w:val="20"/>
        </w:rPr>
        <w:t xml:space="preserve">Adjusted Income Before Taxes from Continuing Operations. </w:t>
      </w:r>
      <w:r>
        <w:rPr>
          <w:rFonts w:ascii="Arial;sans-serif" w:hAnsi="Arial;sans-serif"/>
          <w:b w:val="false"/>
          <w:color w:val="000000"/>
          <w:sz w:val="20"/>
        </w:rPr>
        <w:t>Adjusted income before taxes from continuing operations equals net income (loss) from continuing operations attributable to i3 Verticals Inc., adjusted to add back net income (loss) from continuing operations attributable to non-controlling interest and to exclude certain items on a pre-tax basis which the Company believes may not fully reflect our underlying operating performance. The Company believes that this non-GAAP measure provides useful information to investors in understanding and evaluating the Company’s results of continuing operations and ongoing operational performance on a pre-tax basis.</w:t>
      </w:r>
    </w:p>
    <w:p>
      <w:pPr>
        <w:pStyle w:val="TextBody"/>
        <w:bidi w:val="0"/>
        <w:spacing w:lineRule="auto" w:line="288" w:before="0" w:after="120"/>
        <w:ind w:left="0" w:right="0" w:hanging="360"/>
        <w:jc w:val="both"/>
        <w:rPr/>
      </w:pPr>
      <w:r>
        <w:rPr>
          <w:color w:val="000000"/>
        </w:rPr>
        <w:t>•</w:t>
      </w:r>
      <w:r>
        <w:rPr>
          <w:rFonts w:ascii="Arial;sans-serif" w:hAnsi="Arial;sans-serif"/>
          <w:b/>
          <w:color w:val="000000"/>
          <w:sz w:val="20"/>
        </w:rPr>
        <w:t xml:space="preserve">Adjusted Net Income from Continuing Operations and Adjusted Diluted Earnings per Share from Continuing Operations. </w:t>
      </w:r>
      <w:r>
        <w:rPr>
          <w:rFonts w:ascii="Arial;sans-serif" w:hAnsi="Arial;sans-serif"/>
          <w:b w:val="false"/>
          <w:color w:val="000000"/>
          <w:sz w:val="20"/>
        </w:rPr>
        <w:t>Adjusted net income from continuing operations equals adjusted income before taxes from continuing operations as described above, adjusted to give effect to an effective tax rate of 25%, which reflects our estimated long-term effective tax rate, considering blended federal and state tax rates. Adjusted diluted earnings per share from continuing operations equals adjusted net income from continuing operations divided by our adjusted weighted average shares of adjusted diluted Class A common stock outstanding. The Company believes that these non-GAAP measures provide useful information to investors in understanding and evaluating the Company’s results of continuing operations and ongoing operational performance on a post-tax basis after giving effect to this assumed tax rate. Adjusted Diluted Earnings per Share from Continuing Operations has also been utilized as a metric in connection with performance-based equity awards previously granted by the Company to executives.</w:t>
      </w:r>
    </w:p>
    <w:p>
      <w:pPr>
        <w:pStyle w:val="TextBody"/>
        <w:bidi w:val="0"/>
        <w:spacing w:lineRule="auto" w:line="288" w:before="0" w:after="120"/>
        <w:ind w:left="0" w:right="0" w:hanging="360"/>
        <w:jc w:val="both"/>
        <w:rPr/>
      </w:pPr>
      <w:r>
        <w:rPr>
          <w:color w:val="000000"/>
        </w:rPr>
        <w:t>•</w:t>
      </w:r>
      <w:r>
        <w:rPr>
          <w:rFonts w:ascii="Arial;sans-serif" w:hAnsi="Arial;sans-serif"/>
          <w:b/>
          <w:color w:val="000000"/>
          <w:sz w:val="20"/>
        </w:rPr>
        <w:t xml:space="preserve">Adjusted EBITDA from Continuing Operations and Adjusted EBITDA Margin from Continuing Operations. </w:t>
      </w:r>
      <w:r>
        <w:rPr>
          <w:rFonts w:ascii="Arial;sans-serif" w:hAnsi="Arial;sans-serif"/>
          <w:b w:val="false"/>
          <w:color w:val="000000"/>
          <w:sz w:val="20"/>
        </w:rPr>
        <w:t>Adjusted EBITDA from continuing operations equals net income (loss) from continuing operations attributable to i3 Verticals Inc., before interest, income taxes, depreciation and amortization, adjusted to add back net income (loss) from continuing operations attributable to non-controlling interest, and to exclude certain items which the Company believes do not fully reflect our underlying operating performance. Adjusted EBITDA margin represents adjusted EBITDA as a percentage of revenue. The Company believes that these non-GAAP measures provide useful information to investors in understanding and evaluating the Company’s results of continuing operations and ongoing operational performance. In addition, Adjusted EBITDA and Adjusted EBITDA margin have been metrics utilized in connection with the Company’s short-term annual cash incentive program for executive management.</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Company believes that the disclosure of these non-GAAP financial measures provides investors with useful information in connection with assessing the Company's financial results as described above. In addition, these non-GAAP financial measures are utilized by management to assess the Company's financial results, evaluate the Company's business, manage budgets, allocate resources, and make operational decisions. The Company believes that disclosure of these non-GAAP financial measures provides investors with additional information to help them better understand our financial results just as management utilizes these non-GAAP financial measures as described above. Although these non-GAAP financial measures assist in measuring the Company's financial results and assessing its financial performance, they are not necessarily comparable to similarly titled measures of other companies due to potential inconsistencies in the method of calculation.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See below for reconciliations of the non-GAAP financial measures presented in this release.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IIIV Reports Second Quarter Fiscal Year 2026 Financial Results</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12"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8</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May 7,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i3 Verticals, Inc. Reconciliation of GAAP Net Income (Loss) from Continuing Operations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Non-GAAP Adjusted Net Income from Continuing Operations and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Non-GAAP Adjusted EBITDA from Continuing Operations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in thousands)</w:t>
      </w:r>
    </w:p>
    <w:tbl>
      <w:tblPr>
        <w:tblW w:w="10205" w:type="dxa"/>
        <w:jc w:val="center"/>
        <w:tblInd w:w="0" w:type="dxa"/>
        <w:tblLayout w:type="fixed"/>
        <w:tblCellMar>
          <w:top w:w="28" w:type="dxa"/>
          <w:left w:w="28" w:type="dxa"/>
          <w:bottom w:w="28" w:type="dxa"/>
          <w:right w:w="28" w:type="dxa"/>
        </w:tblCellMar>
      </w:tblPr>
      <w:tblGrid>
        <w:gridCol w:w="1814"/>
        <w:gridCol w:w="1529"/>
        <w:gridCol w:w="1533"/>
        <w:gridCol w:w="217"/>
        <w:gridCol w:w="759"/>
        <w:gridCol w:w="112"/>
        <w:gridCol w:w="112"/>
        <w:gridCol w:w="112"/>
        <w:gridCol w:w="112"/>
        <w:gridCol w:w="217"/>
        <w:gridCol w:w="759"/>
        <w:gridCol w:w="112"/>
        <w:gridCol w:w="109"/>
        <w:gridCol w:w="109"/>
        <w:gridCol w:w="109"/>
        <w:gridCol w:w="211"/>
        <w:gridCol w:w="736"/>
        <w:gridCol w:w="109"/>
        <w:gridCol w:w="109"/>
        <w:gridCol w:w="109"/>
        <w:gridCol w:w="109"/>
        <w:gridCol w:w="211"/>
        <w:gridCol w:w="736"/>
        <w:gridCol w:w="160"/>
      </w:tblGrid>
      <w:tr>
        <w:trPr/>
        <w:tc>
          <w:tcPr>
            <w:tcW w:w="1814"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March 31,</w:t>
            </w:r>
          </w:p>
        </w:tc>
      </w:tr>
      <w:tr>
        <w:trPr/>
        <w:tc>
          <w:tcPr>
            <w:tcW w:w="4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Net income from continuing operations attributable to i3 Verticals, Inc.</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income from continuing operations attributable to non-controlling interest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Net income from continuing operations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Non-GAAP adjustments:</w:t>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Non-cash change in fair value of contingent consideration</w:t>
            </w:r>
            <w:r>
              <w:rPr>
                <w:rFonts w:ascii="Arial;sans-serif" w:hAnsi="Arial;sans-serif"/>
                <w:b w:val="false"/>
                <w:color w:val="000000"/>
                <w:sz w:val="12"/>
              </w:rPr>
              <w:t>(1)</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Equity-based compensation from continuing operations</w:t>
            </w:r>
            <w:r>
              <w:rPr>
                <w:rFonts w:ascii="Arial;sans-serif" w:hAnsi="Arial;sans-serif"/>
                <w:b w:val="false"/>
                <w:color w:val="000000"/>
                <w:sz w:val="12"/>
              </w:rPr>
              <w:t>(2)</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M&amp;A-related activity</w:t>
            </w:r>
            <w:r>
              <w:rPr>
                <w:rFonts w:ascii="Arial;sans-serif" w:hAnsi="Arial;sans-serif"/>
                <w:b w:val="false"/>
                <w:color w:val="000000"/>
                <w:sz w:val="12"/>
              </w:rPr>
              <w:t>(3)</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Acquisition intangible amortization</w:t>
            </w:r>
            <w:r>
              <w:rPr>
                <w:rFonts w:ascii="Arial;sans-serif" w:hAnsi="Arial;sans-serif"/>
                <w:b w:val="false"/>
                <w:color w:val="000000"/>
                <w:sz w:val="12"/>
              </w:rPr>
              <w:t>(4)</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Non-cash interest expense</w:t>
            </w:r>
            <w:r>
              <w:rPr>
                <w:rFonts w:ascii="Arial;sans-serif" w:hAnsi="Arial;sans-serif"/>
                <w:b w:val="false"/>
                <w:color w:val="000000"/>
                <w:sz w:val="12"/>
              </w:rPr>
              <w:t>(5)</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taxes</w:t>
            </w:r>
            <w:r>
              <w:rPr>
                <w:rFonts w:ascii="Arial;sans-serif" w:hAnsi="Arial;sans-serif"/>
                <w:b w:val="false"/>
                <w:color w:val="000000"/>
                <w:sz w:val="12"/>
              </w:rPr>
              <w:t>(6)</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Loss (gain) on disposal of property and equipment</w:t>
            </w:r>
            <w:r>
              <w:rPr>
                <w:rFonts w:ascii="Arial;sans-serif" w:hAnsi="Arial;sans-serif"/>
                <w:b w:val="false"/>
                <w:color w:val="000000"/>
                <w:sz w:val="12"/>
              </w:rPr>
              <w:t>(7)</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Non-GAAP adjusted income before taxes from continuing operations</w:t>
            </w:r>
            <w:r>
              <w:rPr>
                <w:rFonts w:ascii="Arial;sans-serif" w:hAnsi="Arial;sans-serif"/>
                <w:b/>
                <w:color w:val="000000"/>
                <w:sz w:val="12"/>
              </w:rPr>
              <w:t>(8)</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12,941</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13,006</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24,389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25,288</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Estimated taxes at 25%</w:t>
            </w:r>
            <w:r>
              <w:rPr>
                <w:rFonts w:ascii="Arial;sans-serif" w:hAnsi="Arial;sans-serif"/>
                <w:b w:val="false"/>
                <w:color w:val="000000"/>
                <w:sz w:val="12"/>
              </w:rPr>
              <w:t>(9)</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Adjusted net income from continuing operations</w:t>
            </w:r>
            <w:r>
              <w:rPr>
                <w:rFonts w:ascii="Arial;sans-serif" w:hAnsi="Arial;sans-serif"/>
                <w:b/>
                <w:color w:val="000000"/>
                <w:sz w:val="12"/>
              </w:rPr>
              <w:t>(8)</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9,706</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9,754</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18,292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18,965</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Cash interest expense (income), net</w:t>
            </w:r>
            <w:r>
              <w:rPr>
                <w:rFonts w:ascii="Arial;sans-serif" w:hAnsi="Arial;sans-serif"/>
                <w:b w:val="false"/>
                <w:color w:val="000000"/>
                <w:sz w:val="12"/>
              </w:rPr>
              <w:t>(10)</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Estimated taxes at 25%</w:t>
            </w:r>
            <w:r>
              <w:rPr>
                <w:rFonts w:ascii="Arial;sans-serif" w:hAnsi="Arial;sans-serif"/>
                <w:b w:val="false"/>
                <w:color w:val="000000"/>
                <w:sz w:val="12"/>
              </w:rPr>
              <w:t>(9)</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Depreciation and internally developed software amortization</w:t>
            </w:r>
            <w:r>
              <w:rPr>
                <w:rFonts w:ascii="Arial;sans-serif" w:hAnsi="Arial;sans-serif"/>
                <w:b w:val="false"/>
                <w:color w:val="000000"/>
                <w:sz w:val="12"/>
              </w:rPr>
              <w:t>(11)</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Adjusted EBITDA from continuing operations</w:t>
            </w:r>
            <w:r>
              <w:rPr>
                <w:rFonts w:ascii="Arial;sans-serif" w:hAnsi="Arial;sans-serif"/>
                <w:b/>
                <w:color w:val="000000"/>
                <w:sz w:val="12"/>
              </w:rPr>
              <w:t>(8)</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16,589</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15,841</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30,204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30,412</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1.Non-cash change in fair value of contingent consideration reflects the changes in management’s estimates of future cash consideration to be paid in connection with prior acquisitions from the amount estimated as of the later of the most recent balance sheet date forming the beginning of the income statement period or the original estimates made at the closing of the applicable acquisition.</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2.Equity-based compensation expense related to stock options and restricted stock units issued under the Company's 2018 Equity Incentive Plan and 2020 Acquisition Equity Incentive Plan.</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3.M&amp;A-related activity is the net impact of professional service and related costs directly related to any merger, acquisition and disposition activity of the Company ("M&amp;A-related expenses"), which are recorded in selling, general and administrative in the condensed consolidated statements of operations, and revenue earned through post-sale non-recurring activities with divestitures ("M&amp;A-related income"), which are recorded in other income in the condensed consolidated statements of operations. i3 Verticals believes these activities are not reflective of the underlying operational performance of the Company. M&amp;A-related income was $60 and $225 for the three and six months ended March 31, 2026, respectively, and $461 and $956 for the three and six months ended March 31, 2025, respectively. M&amp;A-related expenses were $186 and $372 for the three and six months ended March 31, 2026, respectively and $570 and $1,116 for the three and six months ended March 31, 2025, respectively.</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4.Acquisition intangible amortization reflects amortization of intangible assets and software acquired through acquisitions of business or other purchases of intangible assets.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5.Non-cash interest expense reflects amortization of debt issuance costs and any write-offs of debt issuance costs.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6.Other taxes consist of franchise taxes, commercial activity taxes, reserves for ongoing tax audit matters, the employer portion of payroll taxes related to stock option exercises and other non-income-based taxes. Taxes related to salaries are not included.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7.Loss (gain) on disposal of property and equipment is related to the sale of buildings and automobiles purchased through acquisitions.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8.Represents a non-GAAP financial measure.</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9.Corporate income tax expense is based on non-GAAP adjusted income before taxes from continuing operations and is calculated using a tax rate of 25.0% for both the six months ended March 31, 2026 and 2025, based on the estimated long-term effective tax rate, considering blended federal and state tax rates.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10.Cash interest expense (income), net, represents all interest expense net of interest income recorded on the Company's statement of operations other than non-cash interest expense, which represents amortization of debt issuance costs and any write-offs of debt issuance costs.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11.Depreciation and internally developed software amortization reflects depreciation on the Company's property, plant and equipment, net, and amortization expense on its internally developed capitalized software.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IIIV Reports Second Quarter Fiscal Year 2026 Financial Results</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13"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9</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May 7,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i3 Verticals, Inc. GAAP Diluted EPS from Continuing Operations and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Non-GAAP Adjusted Diluted EPS from Continuing Operations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588"/>
        <w:gridCol w:w="1394"/>
        <w:gridCol w:w="1398"/>
        <w:gridCol w:w="275"/>
        <w:gridCol w:w="806"/>
        <w:gridCol w:w="116"/>
        <w:gridCol w:w="116"/>
        <w:gridCol w:w="116"/>
        <w:gridCol w:w="116"/>
        <w:gridCol w:w="275"/>
        <w:gridCol w:w="806"/>
        <w:gridCol w:w="116"/>
        <w:gridCol w:w="109"/>
        <w:gridCol w:w="109"/>
        <w:gridCol w:w="109"/>
        <w:gridCol w:w="244"/>
        <w:gridCol w:w="837"/>
        <w:gridCol w:w="109"/>
        <w:gridCol w:w="109"/>
        <w:gridCol w:w="109"/>
        <w:gridCol w:w="109"/>
        <w:gridCol w:w="244"/>
        <w:gridCol w:w="837"/>
        <w:gridCol w:w="158"/>
      </w:tblGrid>
      <w:tr>
        <w:trPr/>
        <w:tc>
          <w:tcPr>
            <w:tcW w:w="1588"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March 31,</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Diluted net income per share attributable to Class A common stockholders from continuing operations</w:t>
            </w:r>
            <w:r>
              <w:rPr>
                <w:rFonts w:ascii="Arial;sans-serif" w:hAnsi="Arial;sans-serif"/>
                <w:b w:val="false"/>
                <w:color w:val="000000"/>
                <w:sz w:val="12"/>
              </w:rPr>
              <w:t>(1)</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Adjusted diluted earnings per share from continuing operations</w:t>
            </w:r>
            <w:r>
              <w:rPr>
                <w:rFonts w:ascii="Arial;sans-serif" w:hAnsi="Arial;sans-serif"/>
                <w:b w:val="false"/>
                <w:color w:val="000000"/>
                <w:sz w:val="12"/>
              </w:rPr>
              <w:t>(2)(3)</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Adjusted net income from continuing operations</w:t>
            </w:r>
            <w:r>
              <w:rPr>
                <w:rFonts w:ascii="Arial;sans-serif" w:hAnsi="Arial;sans-serif"/>
                <w:b w:val="false"/>
                <w:color w:val="000000"/>
                <w:sz w:val="12"/>
              </w:rPr>
              <w:t>(2)(4)</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Adjusted weighted average shares of adjusted diluted Class A common stock outstanding</w:t>
            </w:r>
            <w:r>
              <w:rPr>
                <w:rFonts w:ascii="Arial;sans-serif" w:hAnsi="Arial;sans-serif"/>
                <w:b w:val="false"/>
                <w:color w:val="000000"/>
                <w:sz w:val="12"/>
              </w:rPr>
              <w:t>(2)(5)</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30,582,587 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33,542,165 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32,038,321 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33,801,930 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1.Diluted net income per share attributable to Class A common stockholders from continuing operations and adjusted diluted earnings per share from continuing operations both exclude the discontinued operations of the Merchant Services Business and the Healthcare RCM Business but include the consolidated cash interest expense.</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2.Represents a non-GAAP financial measure.</w:t>
      </w:r>
    </w:p>
    <w:p>
      <w:pPr>
        <w:pStyle w:val="TextBody"/>
        <w:bidi w:val="0"/>
        <w:spacing w:lineRule="auto" w:line="26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3.Adjusted diluted earnings per share from continuing operations, a non-GAAP financial measure, is calculated using adjusted net income from continuing operations and the adjusted weighted average shares of adjusted diluted Class A common stock outstanding. Further, adjusted diluted earnings per share from continuing operations assumes that all Common Units in i3 Verticals, LLC and the associated non-voting Class B common stock were exchanged for Class A common stock at the beginning of the period on a one-for-one basis. </w:t>
      </w:r>
    </w:p>
    <w:p>
      <w:pPr>
        <w:pStyle w:val="TextBody"/>
        <w:bidi w:val="0"/>
        <w:spacing w:lineRule="auto" w:line="26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4.Adjusted net income from continuing operations, a non-GAAP financial measure, assumes that all net income from continuing operations during the period is available to the holders of the Company's Class A common stock. </w:t>
      </w:r>
    </w:p>
    <w:p>
      <w:pPr>
        <w:pStyle w:val="TextBody"/>
        <w:bidi w:val="0"/>
        <w:spacing w:lineRule="auto" w:line="268"/>
        <w:ind w:left="0" w:right="0" w:hanging="360"/>
        <w:jc w:val="both"/>
        <w:rPr>
          <w:rFonts w:ascii="Arial;sans-serif" w:hAnsi="Arial;sans-serif"/>
          <w:b w:val="false"/>
          <w:color w:val="000000"/>
          <w:sz w:val="16"/>
        </w:rPr>
      </w:pPr>
      <w:r>
        <w:rPr>
          <w:rFonts w:ascii="Arial;sans-serif" w:hAnsi="Arial;sans-serif"/>
          <w:b w:val="false"/>
          <w:color w:val="000000"/>
          <w:sz w:val="16"/>
        </w:rPr>
        <w:t>5.Adjusted weighted average shares of adjusted diluted Class A common stock outstanding include 8,381,681 and 9,408,427 weighted average outstanding shares of Class B common stock (which can be converted into Class A common stock upon the exchange of the Class B common stock and the associated Common Units in i3 Verticals, LLC) and 402,066 and 299,505 shares resulting from estimated stock option exercises and restricted stock units vesting as calculated by the treasury stock method for the three months ended March 31, 2026 and 2025, respectively. Adjusted weighted average shares of adjusted diluted Class A common stock outstanding include 8,381,681 and 9,720,698 weighted average outstanding shares of Class B common stock (which can be converted into Class A common stock upon the exchange of the Class B common stock and the associated Common Units in i3 Verticals, LLC) and 909,373 and 389,584 shares resulting from estimated stock option exercises and restricted stock units vesting as calculated by the treasury stock method for the six months ended March 31, 2026 and 2025, respectively.</w:t>
      </w:r>
    </w:p>
    <w:p>
      <w:pPr>
        <w:pStyle w:val="TextBody"/>
        <w:bidi w:val="0"/>
        <w:spacing w:before="0" w:after="0"/>
        <w:jc w:val="center"/>
        <w:rPr/>
      </w:pPr>
      <w:bookmarkStart w:id="1" w:name="supplementalpresentation.htm"/>
      <w:bookmarkStart w:id="2" w:name="kssupplementalpresentation"/>
      <w:bookmarkEnd w:id="1"/>
      <w:bookmarkEnd w:id="2"/>
      <w:r>
        <w:rPr/>
        <w:drawing>
          <wp:inline distT="0" distB="0" distL="0" distR="0">
            <wp:extent cx="7620000" cy="5886450"/>
            <wp:effectExtent l="0" t="0" r="0" b="0"/>
            <wp:docPr id="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descr=""/>
                    <pic:cNvPicPr>
                      <a:picLocks noChangeAspect="1" noChangeArrowheads="1"/>
                    </pic:cNvPicPr>
                  </pic:nvPicPr>
                  <pic:blipFill>
                    <a:blip r:embed="rId4"/>
                    <a:stretch>
                      <a:fillRect/>
                    </a:stretch>
                  </pic:blipFill>
                  <pic:spPr bwMode="auto">
                    <a:xfrm>
                      <a:off x="0" y="0"/>
                      <a:ext cx="7620000" cy="58864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15"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-END-</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-END-</w:t>
                      </w:r>
                    </w:p>
                  </w:txbxContent>
                </v:textbox>
                <w10:wrap type="none"/>
              </v:rect>
            </w:pict>
          </mc:Fallback>
        </mc:AlternateContent>
      </w:r>
    </w:p>
    <w:p>
      <w:pPr>
        <w:pStyle w:val="TextBody"/>
        <w:bidi w:val="0"/>
        <w:jc w:val="center"/>
        <w:rPr>
          <w:color w:val="FFFFFF"/>
          <w:sz w:val="2"/>
        </w:rPr>
      </w:pPr>
      <w:r>
        <w:rPr>
          <w:color w:val="FFFFFF"/>
          <w:sz w:val="2"/>
        </w:rPr>
        <w:t xml:space="preserve">1 Supplemental Information Q2 FISCAL YEAR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2 ($</w:t>
        <w:tab/>
        <w:t>in</w:t>
        <w:tab/>
        <w:t>thousands) Quarter</w:t>
        <w:tab/>
        <w:t>Ended March</w:t>
        <w:tab/>
        <w:t>31,</w:t>
        <w:tab/>
        <w:t xml:space="preserve"> 2026 December</w:t>
        <w:tab/>
        <w:t>31,</w:t>
        <w:tab/>
        <w:t xml:space="preserve"> 2025 September</w:t>
        <w:tab/>
        <w:t>30,</w:t>
        <w:tab/>
        <w:t xml:space="preserve"> 2025 June</w:t>
        <w:tab/>
        <w:t>30,</w:t>
        <w:tab/>
        <w:t>2025 March</w:t>
        <w:tab/>
        <w:t>31,</w:t>
        <w:tab/>
        <w:t xml:space="preserve"> 2025 December</w:t>
        <w:tab/>
        <w:t>31,</w:t>
        <w:tab/>
        <w:t xml:space="preserve"> 2024 September</w:t>
        <w:tab/>
        <w:t>30,</w:t>
        <w:tab/>
        <w:t xml:space="preserve"> 2024 June</w:t>
        <w:tab/>
        <w:t>30,</w:t>
        <w:tab/>
        <w:t>2024 March</w:t>
        <w:tab/>
        <w:t>31,</w:t>
        <w:tab/>
        <w:t xml:space="preserve"> 2024 Recurring</w:t>
        <w:tab/>
        <w:t>revenue SaaS(2) $</w:t>
        <w:tab/>
        <w:t xml:space="preserve"> 12,658</w:t>
        <w:tab/>
        <w:t xml:space="preserve"> $</w:t>
        <w:tab/>
        <w:t xml:space="preserve"> 10,959</w:t>
        <w:tab/>
        <w:t xml:space="preserve"> $</w:t>
        <w:tab/>
        <w:t xml:space="preserve"> 10,375</w:t>
        <w:tab/>
        <w:t xml:space="preserve"> $</w:t>
        <w:tab/>
        <w:t xml:space="preserve"> 9,299</w:t>
        <w:tab/>
        <w:t xml:space="preserve"> $</w:t>
        <w:tab/>
        <w:t xml:space="preserve"> 9,209</w:t>
        <w:tab/>
        <w:t xml:space="preserve"> $</w:t>
        <w:tab/>
        <w:t xml:space="preserve"> 8,812</w:t>
        <w:tab/>
        <w:t xml:space="preserve"> $</w:t>
        <w:tab/>
        <w:t xml:space="preserve"> 8,331</w:t>
        <w:tab/>
        <w:t xml:space="preserve"> $</w:t>
        <w:tab/>
        <w:t xml:space="preserve"> 7,517</w:t>
        <w:tab/>
        <w:t xml:space="preserve"> $</w:t>
        <w:tab/>
        <w:t xml:space="preserve"> 7,500</w:t>
        <w:tab/>
        <w:t xml:space="preserve"> Transaction-based(3) </w:t>
        <w:tab/>
        <w:t xml:space="preserve"> 22,359</w:t>
        <w:tab/>
        <w:t xml:space="preserve"> </w:t>
        <w:tab/>
        <w:t xml:space="preserve"> 20,399</w:t>
        <w:tab/>
        <w:t xml:space="preserve"> </w:t>
        <w:tab/>
        <w:t xml:space="preserve"> 19,971</w:t>
        <w:tab/>
        <w:t xml:space="preserve"> </w:t>
        <w:tab/>
        <w:t xml:space="preserve"> 19,325</w:t>
        <w:tab/>
        <w:t xml:space="preserve"> </w:t>
        <w:tab/>
        <w:t xml:space="preserve"> 20,933</w:t>
        <w:tab/>
        <w:t xml:space="preserve"> </w:t>
        <w:tab/>
        <w:t xml:space="preserve"> 18,867</w:t>
        <w:tab/>
        <w:t xml:space="preserve"> </w:t>
        <w:tab/>
        <w:t xml:space="preserve"> 18,024</w:t>
        <w:tab/>
        <w:t xml:space="preserve"> </w:t>
        <w:tab/>
        <w:t xml:space="preserve"> 17,471</w:t>
        <w:tab/>
        <w:t xml:space="preserve"> </w:t>
        <w:tab/>
        <w:t xml:space="preserve"> 19,281</w:t>
        <w:tab/>
        <w:t xml:space="preserve"> Maintenance(4) </w:t>
        <w:tab/>
        <w:t xml:space="preserve"> 7,832</w:t>
        <w:tab/>
        <w:t xml:space="preserve"> </w:t>
        <w:tab/>
        <w:t xml:space="preserve"> 7,971</w:t>
        <w:tab/>
        <w:t xml:space="preserve"> </w:t>
        <w:tab/>
        <w:t xml:space="preserve"> 7,956</w:t>
        <w:tab/>
        <w:t xml:space="preserve"> </w:t>
        <w:tab/>
        <w:t xml:space="preserve"> 8,648</w:t>
        <w:tab/>
        <w:t xml:space="preserve"> </w:t>
        <w:tab/>
        <w:t xml:space="preserve"> 8,115</w:t>
        <w:tab/>
        <w:t xml:space="preserve"> </w:t>
        <w:tab/>
        <w:t xml:space="preserve"> 8,622</w:t>
        <w:tab/>
        <w:t xml:space="preserve"> </w:t>
        <w:tab/>
        <w:t xml:space="preserve"> 8,610</w:t>
        <w:tab/>
        <w:t xml:space="preserve"> </w:t>
        <w:tab/>
        <w:t xml:space="preserve"> 8,255</w:t>
        <w:tab/>
        <w:t xml:space="preserve"> </w:t>
        <w:tab/>
        <w:t xml:space="preserve"> 7,936</w:t>
        <w:tab/>
        <w:t xml:space="preserve"> Other</w:t>
        <w:tab/>
        <w:t>recurring</w:t>
        <w:tab/>
        <w:t xml:space="preserve">services(5) </w:t>
        <w:tab/>
        <w:t xml:space="preserve"> 3,021</w:t>
        <w:tab/>
        <w:t xml:space="preserve"> </w:t>
        <w:tab/>
        <w:t xml:space="preserve"> 3,077</w:t>
        <w:tab/>
        <w:t xml:space="preserve"> </w:t>
        <w:tab/>
        <w:t xml:space="preserve"> 3,013</w:t>
        <w:tab/>
        <w:t xml:space="preserve"> </w:t>
        <w:tab/>
        <w:t xml:space="preserve"> 2,929</w:t>
        <w:tab/>
        <w:t xml:space="preserve"> </w:t>
        <w:tab/>
        <w:t xml:space="preserve"> 2,856</w:t>
        <w:tab/>
        <w:t xml:space="preserve"> </w:t>
        <w:tab/>
        <w:t xml:space="preserve"> 2,804</w:t>
        <w:tab/>
        <w:t xml:space="preserve"> </w:t>
        <w:tab/>
        <w:t xml:space="preserve"> 2,876</w:t>
        <w:tab/>
        <w:t xml:space="preserve"> </w:t>
        <w:tab/>
        <w:t xml:space="preserve"> 2,655</w:t>
        <w:tab/>
        <w:t xml:space="preserve"> </w:t>
        <w:tab/>
        <w:t xml:space="preserve"> 2,938</w:t>
        <w:tab/>
        <w:t xml:space="preserve"> Total</w:t>
        <w:tab/>
        <w:t>recurring</w:t>
        <w:tab/>
        <w:t>revenue(6) $</w:t>
        <w:tab/>
        <w:t xml:space="preserve"> 45,870</w:t>
        <w:tab/>
        <w:t xml:space="preserve"> $</w:t>
        <w:tab/>
        <w:t xml:space="preserve"> 42,406</w:t>
        <w:tab/>
        <w:t xml:space="preserve"> $</w:t>
        <w:tab/>
        <w:t xml:space="preserve"> 41,315</w:t>
        <w:tab/>
        <w:t xml:space="preserve"> $</w:t>
        <w:tab/>
        <w:t xml:space="preserve"> 40,201</w:t>
        <w:tab/>
        <w:t xml:space="preserve"> $</w:t>
        <w:tab/>
        <w:t xml:space="preserve"> 41,113</w:t>
        <w:tab/>
        <w:t xml:space="preserve"> $</w:t>
        <w:tab/>
        <w:t xml:space="preserve"> 39,105</w:t>
        <w:tab/>
        <w:t xml:space="preserve"> $</w:t>
        <w:tab/>
        <w:t xml:space="preserve"> 37,841</w:t>
        <w:tab/>
        <w:t xml:space="preserve"> $</w:t>
        <w:tab/>
        <w:t xml:space="preserve"> 35,898</w:t>
        <w:tab/>
        <w:t xml:space="preserve"> $</w:t>
        <w:tab/>
        <w:t xml:space="preserve"> 37,655</w:t>
        <w:tab/>
        <w:t xml:space="preserve"> Year-over-year</w:t>
        <w:tab/>
        <w:t xml:space="preserve">growth </w:t>
        <w:tab/>
        <w:t>12</w:t>
        <w:tab/>
        <w:t xml:space="preserve">% </w:t>
        <w:tab/>
        <w:t>8</w:t>
        <w:tab/>
        <w:t xml:space="preserve">% </w:t>
        <w:tab/>
        <w:t>9</w:t>
        <w:tab/>
        <w:t xml:space="preserve">% </w:t>
        <w:tab/>
        <w:t>12</w:t>
        <w:tab/>
        <w:t xml:space="preserve">% </w:t>
        <w:tab/>
        <w:t>9</w:t>
        <w:tab/>
        <w:t xml:space="preserve">% </w:t>
        <w:tab/>
        <w:t xml:space="preserve"> </w:t>
        <w:tab/>
        <w:t xml:space="preserve"> </w:t>
        <w:tab/>
        <w:t xml:space="preserve"> </w:t>
        <w:tab/>
        <w:t xml:space="preserve"> Non-recurring</w:t>
        <w:tab/>
        <w:t>revenue Professional</w:t>
        <w:tab/>
        <w:t xml:space="preserve">services(7) </w:t>
        <w:tab/>
        <w:t xml:space="preserve"> 6,946</w:t>
        <w:tab/>
        <w:t xml:space="preserve"> </w:t>
        <w:tab/>
        <w:t xml:space="preserve"> 6,959</w:t>
        <w:tab/>
        <w:t xml:space="preserve"> </w:t>
        <w:tab/>
        <w:t xml:space="preserve"> 11,537</w:t>
        <w:tab/>
        <w:t xml:space="preserve"> </w:t>
        <w:tab/>
        <w:t xml:space="preserve"> 9,458</w:t>
        <w:tab/>
        <w:t xml:space="preserve"> </w:t>
        <w:tab/>
        <w:t xml:space="preserve"> 9,136</w:t>
        <w:tab/>
        <w:t xml:space="preserve"> </w:t>
        <w:tab/>
        <w:t xml:space="preserve"> 9,583</w:t>
        <w:tab/>
        <w:t xml:space="preserve"> </w:t>
        <w:tab/>
        <w:t xml:space="preserve"> 9,729</w:t>
        <w:tab/>
        <w:t xml:space="preserve"> </w:t>
        <w:tab/>
        <w:t xml:space="preserve"> 8,472</w:t>
        <w:tab/>
        <w:t xml:space="preserve"> </w:t>
        <w:tab/>
        <w:t xml:space="preserve"> 8,795</w:t>
        <w:tab/>
        <w:t xml:space="preserve"> Software</w:t>
        <w:tab/>
        <w:t>licenses</w:t>
        <w:tab/>
        <w:t>&amp;</w:t>
        <w:tab/>
        <w:t xml:space="preserve">other </w:t>
        <w:tab/>
        <w:t xml:space="preserve"> 4,702</w:t>
        <w:tab/>
        <w:t xml:space="preserve"> </w:t>
        <w:tab/>
        <w:t xml:space="preserve"> 3,306</w:t>
        <w:tab/>
        <w:t xml:space="preserve"> </w:t>
        <w:tab/>
        <w:t xml:space="preserve"> 2,049</w:t>
        <w:tab/>
        <w:t xml:space="preserve"> </w:t>
        <w:tab/>
        <w:t xml:space="preserve"> 2,242</w:t>
        <w:tab/>
        <w:t xml:space="preserve"> </w:t>
        <w:tab/>
        <w:t xml:space="preserve"> 3,886</w:t>
        <w:tab/>
        <w:t xml:space="preserve"> </w:t>
        <w:tab/>
        <w:t xml:space="preserve"> 3,533</w:t>
        <w:tab/>
        <w:t xml:space="preserve"> </w:t>
        <w:tab/>
        <w:t xml:space="preserve"> 3,753</w:t>
        <w:tab/>
        <w:t xml:space="preserve"> </w:t>
        <w:tab/>
        <w:t xml:space="preserve"> 1,813</w:t>
        <w:tab/>
        <w:t xml:space="preserve"> </w:t>
        <w:tab/>
        <w:t xml:space="preserve"> 2,054</w:t>
        <w:tab/>
        <w:t xml:space="preserve"> Total</w:t>
        <w:tab/>
        <w:t>non-recurring</w:t>
        <w:tab/>
        <w:t>revenue $</w:t>
        <w:tab/>
        <w:t xml:space="preserve"> 11,648</w:t>
        <w:tab/>
        <w:t xml:space="preserve"> $</w:t>
        <w:tab/>
        <w:t xml:space="preserve"> 10,265</w:t>
        <w:tab/>
        <w:t xml:space="preserve"> $</w:t>
        <w:tab/>
        <w:t xml:space="preserve"> 13,586</w:t>
        <w:tab/>
        <w:t xml:space="preserve"> $</w:t>
        <w:tab/>
        <w:t xml:space="preserve"> 11,700</w:t>
        <w:tab/>
        <w:t xml:space="preserve"> $</w:t>
        <w:tab/>
        <w:t xml:space="preserve"> 13,022</w:t>
        <w:tab/>
        <w:t xml:space="preserve"> $</w:t>
        <w:tab/>
        <w:t xml:space="preserve"> 13,116</w:t>
        <w:tab/>
        <w:t xml:space="preserve"> $</w:t>
        <w:tab/>
        <w:t xml:space="preserve"> 13,482</w:t>
        <w:tab/>
        <w:t xml:space="preserve"> $</w:t>
        <w:tab/>
        <w:t xml:space="preserve"> 10,285</w:t>
        <w:tab/>
        <w:t xml:space="preserve"> $</w:t>
        <w:tab/>
        <w:t xml:space="preserve"> 10,849</w:t>
        <w:tab/>
        <w:t xml:space="preserve"> Year-over-year</w:t>
        <w:tab/>
        <w:t xml:space="preserve">growth </w:t>
        <w:tab/>
        <w:t>(11)</w:t>
        <w:tab/>
        <w:t xml:space="preserve">% </w:t>
        <w:tab/>
        <w:t>(22)</w:t>
        <w:tab/>
        <w:t xml:space="preserve">% </w:t>
        <w:tab/>
        <w:t>1</w:t>
        <w:tab/>
        <w:t xml:space="preserve">% </w:t>
        <w:tab/>
        <w:t>14</w:t>
        <w:tab/>
        <w:t xml:space="preserve">% </w:t>
        <w:tab/>
        <w:t>20</w:t>
        <w:tab/>
        <w:t xml:space="preserve">% </w:t>
        <w:tab/>
        <w:t xml:space="preserve"> </w:t>
        <w:tab/>
        <w:t xml:space="preserve"> </w:t>
        <w:tab/>
        <w:t xml:space="preserve"> </w:t>
        <w:tab/>
        <w:t xml:space="preserve"> Total</w:t>
        <w:tab/>
        <w:t>revenue $</w:t>
        <w:tab/>
        <w:t xml:space="preserve"> 57,518</w:t>
        <w:tab/>
        <w:t xml:space="preserve"> $</w:t>
        <w:tab/>
        <w:t xml:space="preserve"> 52,671</w:t>
        <w:tab/>
        <w:t xml:space="preserve"> $</w:t>
        <w:tab/>
        <w:t xml:space="preserve"> 54,901</w:t>
        <w:tab/>
        <w:t xml:space="preserve"> $</w:t>
        <w:tab/>
        <w:t xml:space="preserve"> 51,901</w:t>
        <w:tab/>
        <w:t xml:space="preserve"> $</w:t>
        <w:tab/>
        <w:t xml:space="preserve"> 54,135</w:t>
        <w:tab/>
        <w:t xml:space="preserve"> $</w:t>
        <w:tab/>
        <w:t xml:space="preserve"> 52,221</w:t>
        <w:tab/>
        <w:t xml:space="preserve"> $</w:t>
        <w:tab/>
        <w:t xml:space="preserve"> 51,323</w:t>
        <w:tab/>
        <w:t xml:space="preserve"> $</w:t>
        <w:tab/>
        <w:t xml:space="preserve"> 46,183</w:t>
        <w:tab/>
        <w:t xml:space="preserve"> $</w:t>
        <w:tab/>
        <w:t xml:space="preserve"> 48,504</w:t>
        <w:tab/>
        <w:t xml:space="preserve"> Annualized</w:t>
        <w:tab/>
        <w:t>Recurring</w:t>
        <w:tab/>
        <w:t>Revenue</w:t>
        <w:tab/>
        <w:t>“ARR”(8) $</w:t>
        <w:tab/>
        <w:t xml:space="preserve"> 183,480</w:t>
        <w:tab/>
        <w:t xml:space="preserve"> $</w:t>
        <w:tab/>
        <w:t xml:space="preserve"> 169,624</w:t>
        <w:tab/>
        <w:t xml:space="preserve"> $</w:t>
        <w:tab/>
        <w:t xml:space="preserve"> 165,260</w:t>
        <w:tab/>
        <w:t xml:space="preserve"> $</w:t>
        <w:tab/>
        <w:t xml:space="preserve"> 160,804</w:t>
        <w:tab/>
        <w:t xml:space="preserve"> $</w:t>
        <w:tab/>
        <w:t xml:space="preserve"> 164,452</w:t>
        <w:tab/>
        <w:t xml:space="preserve"> $</w:t>
        <w:tab/>
        <w:t xml:space="preserve"> 156,420</w:t>
        <w:tab/>
        <w:t xml:space="preserve"> $</w:t>
        <w:tab/>
        <w:t xml:space="preserve"> 151,364</w:t>
        <w:tab/>
        <w:t xml:space="preserve"> $</w:t>
        <w:tab/>
        <w:t xml:space="preserve"> 143,592</w:t>
        <w:tab/>
        <w:t xml:space="preserve"> $</w:t>
        <w:tab/>
        <w:t xml:space="preserve"> 150,620</w:t>
        <w:tab/>
        <w:t xml:space="preserve"> Year-over-year</w:t>
        <w:tab/>
        <w:t xml:space="preserve">growth </w:t>
        <w:tab/>
        <w:t>12</w:t>
        <w:tab/>
        <w:t xml:space="preserve">% </w:t>
        <w:tab/>
        <w:t>8</w:t>
        <w:tab/>
        <w:t xml:space="preserve">% </w:t>
        <w:tab/>
        <w:t>9</w:t>
        <w:tab/>
        <w:t xml:space="preserve">% </w:t>
        <w:tab/>
        <w:t>12</w:t>
        <w:tab/>
        <w:t xml:space="preserve">% </w:t>
        <w:tab/>
        <w:t>9</w:t>
        <w:tab/>
        <w:t xml:space="preserve">% </w:t>
        <w:tab/>
        <w:t xml:space="preserve"> </w:t>
        <w:tab/>
        <w:t xml:space="preserve"> </w:t>
        <w:tab/>
        <w:t xml:space="preserve"> </w:t>
        <w:tab/>
        <w:t xml:space="preserve"> Revenue Composition(1) See</w:t>
        <w:tab/>
        <w:t>footnotes</w:t>
        <w:tab/>
        <w:t>on</w:t>
        <w:tab/>
        <w:t>the</w:t>
        <w:tab/>
        <w:t>next</w:t>
        <w:tab/>
        <w:t xml:space="preserve">slide.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5" descr=""/>
                    <pic:cNvPicPr>
                      <a:picLocks noChangeAspect="1" noChangeArrowheads="1"/>
                    </pic:cNvPicPr>
                  </pic:nvPicPr>
                  <pic:blipFill>
                    <a:blip r:embed="rId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3 1.) As</w:t>
        <w:tab/>
        <w:t>a</w:t>
        <w:tab/>
        <w:t>result</w:t>
        <w:tab/>
        <w:t>of</w:t>
        <w:tab/>
        <w:t>the</w:t>
        <w:tab/>
        <w:t>sale</w:t>
        <w:tab/>
        <w:t>of</w:t>
        <w:tab/>
        <w:t>our</w:t>
        <w:tab/>
        <w:t>merchant</w:t>
        <w:tab/>
        <w:t>services</w:t>
        <w:tab/>
        <w:t>business</w:t>
        <w:tab/>
        <w:t>(the</w:t>
        <w:tab/>
        <w:t>"Merchant</w:t>
        <w:tab/>
        <w:t>Services</w:t>
        <w:tab/>
        <w:t>Business"),</w:t>
        <w:tab/>
        <w:t>which</w:t>
        <w:tab/>
        <w:t>was</w:t>
        <w:tab/>
        <w:t>completed</w:t>
        <w:tab/>
        <w:t>on</w:t>
        <w:tab/>
        <w:t>September</w:t>
        <w:tab/>
        <w:t>20,</w:t>
        <w:tab/>
        <w:t>2024,</w:t>
        <w:tab/>
        <w:t>and</w:t>
        <w:tab/>
        <w:t>the</w:t>
        <w:tab/>
        <w:t>sale</w:t>
        <w:tab/>
        <w:t xml:space="preserve"> of</w:t>
        <w:tab/>
        <w:t>our</w:t>
        <w:tab/>
        <w:t>Healthcare</w:t>
        <w:tab/>
        <w:t>revenue</w:t>
        <w:tab/>
        <w:t>cycle</w:t>
        <w:tab/>
        <w:t>management</w:t>
        <w:tab/>
        <w:t>business</w:t>
        <w:tab/>
        <w:t>(the</w:t>
        <w:tab/>
        <w:t>"Healthcare</w:t>
        <w:tab/>
        <w:t>RCM</w:t>
        <w:tab/>
        <w:t>Business"),</w:t>
        <w:tab/>
        <w:t>which</w:t>
        <w:tab/>
        <w:t>was</w:t>
        <w:tab/>
        <w:t>completed</w:t>
        <w:tab/>
        <w:t>on</w:t>
        <w:tab/>
        <w:t>May</w:t>
        <w:tab/>
        <w:t>5,</w:t>
        <w:tab/>
        <w:t>2025,</w:t>
        <w:tab/>
        <w:t>the</w:t>
        <w:tab/>
        <w:t>historical</w:t>
        <w:tab/>
        <w:t>results</w:t>
        <w:tab/>
        <w:t>of</w:t>
        <w:tab/>
        <w:t xml:space="preserve"> the</w:t>
        <w:tab/>
        <w:t>Merchant</w:t>
        <w:tab/>
        <w:t>Services</w:t>
        <w:tab/>
        <w:t>Business</w:t>
        <w:tab/>
        <w:t>and</w:t>
        <w:tab/>
        <w:t>the</w:t>
        <w:tab/>
        <w:t>Healthcare</w:t>
        <w:tab/>
        <w:t>RCM</w:t>
        <w:tab/>
        <w:t>Business</w:t>
        <w:tab/>
        <w:t>have</w:t>
        <w:tab/>
        <w:t>been</w:t>
        <w:tab/>
        <w:t>reflected</w:t>
        <w:tab/>
        <w:t>in</w:t>
        <w:tab/>
        <w:t>discontinued</w:t>
        <w:tab/>
        <w:t>operations</w:t>
        <w:tab/>
        <w:t>in</w:t>
        <w:tab/>
        <w:t>the</w:t>
        <w:tab/>
        <w:t>consolidated</w:t>
        <w:tab/>
        <w:t>statement</w:t>
        <w:tab/>
        <w:t>of</w:t>
        <w:tab/>
        <w:t xml:space="preserve"> operations</w:t>
        <w:tab/>
        <w:t>included</w:t>
        <w:tab/>
        <w:t>in</w:t>
        <w:tab/>
        <w:t>this</w:t>
        <w:tab/>
        <w:t>supplemental</w:t>
        <w:tab/>
        <w:t>information,</w:t>
        <w:tab/>
        <w:t>and</w:t>
        <w:tab/>
        <w:t>continuing</w:t>
        <w:tab/>
        <w:t>operations</w:t>
        <w:tab/>
        <w:t>reflect</w:t>
        <w:tab/>
        <w:t>our</w:t>
        <w:tab/>
        <w:t>remaining</w:t>
        <w:tab/>
        <w:t>operations</w:t>
        <w:tab/>
        <w:t>after</w:t>
        <w:tab/>
        <w:t>giving</w:t>
        <w:tab/>
        <w:t>effect</w:t>
        <w:tab/>
        <w:t>to</w:t>
        <w:tab/>
        <w:t>such</w:t>
        <w:tab/>
        <w:t xml:space="preserve"> classifications.</w:t>
        <w:tab/>
        <w:t>Prior</w:t>
        <w:tab/>
        <w:t>period</w:t>
        <w:tab/>
        <w:t>results</w:t>
        <w:tab/>
        <w:t>have</w:t>
        <w:tab/>
        <w:t>been</w:t>
        <w:tab/>
        <w:t>recast</w:t>
        <w:tab/>
        <w:t>to</w:t>
        <w:tab/>
        <w:t>reflect</w:t>
        <w:tab/>
        <w:t>this</w:t>
        <w:tab/>
        <w:t>presentation. 2.) SaaS</w:t>
        <w:tab/>
        <w:t>revenue</w:t>
        <w:tab/>
        <w:t>is</w:t>
        <w:tab/>
        <w:t>earned</w:t>
        <w:tab/>
        <w:t>when</w:t>
        <w:tab/>
        <w:t>we</w:t>
        <w:tab/>
        <w:t>provide,</w:t>
        <w:tab/>
        <w:t>as</w:t>
        <w:tab/>
        <w:t>a</w:t>
        <w:tab/>
        <w:t>service</w:t>
        <w:tab/>
        <w:t>to</w:t>
        <w:tab/>
        <w:t>our</w:t>
        <w:tab/>
        <w:t>customers</w:t>
        <w:tab/>
        <w:t>over</w:t>
        <w:tab/>
        <w:t>time,</w:t>
        <w:tab/>
        <w:t>the</w:t>
        <w:tab/>
        <w:t>right</w:t>
        <w:tab/>
        <w:t>to</w:t>
        <w:tab/>
        <w:t>access</w:t>
        <w:tab/>
        <w:t>our</w:t>
        <w:tab/>
        <w:t>software. 3.) Transaction-based</w:t>
        <w:tab/>
        <w:t>revenue</w:t>
        <w:tab/>
        <w:t>is</w:t>
        <w:tab/>
        <w:t>earned</w:t>
        <w:tab/>
        <w:t>when</w:t>
        <w:tab/>
        <w:t>we</w:t>
        <w:tab/>
        <w:t>provide</w:t>
        <w:tab/>
        <w:t>services</w:t>
        <w:tab/>
        <w:t>through</w:t>
        <w:tab/>
        <w:t>our</w:t>
        <w:tab/>
        <w:t>software</w:t>
        <w:tab/>
        <w:t>and</w:t>
        <w:tab/>
        <w:t>charge</w:t>
        <w:tab/>
        <w:t>a</w:t>
        <w:tab/>
        <w:t>fee</w:t>
        <w:tab/>
        <w:t>on</w:t>
        <w:tab/>
        <w:t>a</w:t>
        <w:tab/>
        <w:t>volume</w:t>
        <w:tab/>
        <w:t>or</w:t>
        <w:tab/>
        <w:t>per-transaction</w:t>
        <w:tab/>
        <w:t>basis.</w:t>
        <w:tab/>
        <w:t>For</w:t>
        <w:tab/>
        <w:t xml:space="preserve"> example,</w:t>
        <w:tab/>
        <w:t>we</w:t>
        <w:tab/>
        <w:t>process</w:t>
        <w:tab/>
        <w:t>credit</w:t>
        <w:tab/>
        <w:t>card</w:t>
        <w:tab/>
        <w:t>or</w:t>
        <w:tab/>
        <w:t>ACH</w:t>
        <w:tab/>
        <w:t>payment</w:t>
        <w:tab/>
        <w:t>transactions,</w:t>
        <w:tab/>
        <w:t>we</w:t>
        <w:tab/>
        <w:t>provide</w:t>
        <w:tab/>
        <w:t>electronic</w:t>
        <w:tab/>
        <w:t>filing</w:t>
        <w:tab/>
        <w:t>services</w:t>
        <w:tab/>
        <w:t>for</w:t>
        <w:tab/>
        <w:t>courts</w:t>
        <w:tab/>
        <w:t>and</w:t>
        <w:tab/>
        <w:t>charge</w:t>
        <w:tab/>
        <w:t>fees</w:t>
        <w:tab/>
        <w:t>per</w:t>
        <w:tab/>
        <w:t>filing,</w:t>
        <w:tab/>
        <w:t>and</w:t>
        <w:tab/>
        <w:t>we</w:t>
        <w:tab/>
        <w:t>stand- ready</w:t>
        <w:tab/>
        <w:t>to</w:t>
        <w:tab/>
        <w:t>process</w:t>
        <w:tab/>
        <w:t>and</w:t>
        <w:tab/>
        <w:t>bill</w:t>
        <w:tab/>
        <w:t>utility</w:t>
        <w:tab/>
        <w:t>customers</w:t>
        <w:tab/>
        <w:t>and</w:t>
        <w:tab/>
        <w:t>charge</w:t>
        <w:tab/>
        <w:t>the</w:t>
        <w:tab/>
        <w:t>utility</w:t>
        <w:tab/>
        <w:t>a</w:t>
        <w:tab/>
        <w:t>fee</w:t>
        <w:tab/>
        <w:t>per</w:t>
        <w:tab/>
        <w:t>bill</w:t>
        <w:tab/>
        <w:t>presented. 4.) Software</w:t>
        <w:tab/>
        <w:t>maintenance</w:t>
        <w:tab/>
        <w:t>revenue</w:t>
        <w:tab/>
        <w:t>is</w:t>
        <w:tab/>
        <w:t>earned</w:t>
        <w:tab/>
        <w:t>when,</w:t>
        <w:tab/>
        <w:t>following</w:t>
        <w:tab/>
        <w:t>the</w:t>
        <w:tab/>
        <w:t>implementation</w:t>
        <w:tab/>
        <w:t>of</w:t>
        <w:tab/>
        <w:t>our</w:t>
        <w:tab/>
        <w:t>software</w:t>
        <w:tab/>
        <w:t>systems,</w:t>
        <w:tab/>
        <w:t>we</w:t>
        <w:tab/>
        <w:t>provide</w:t>
        <w:tab/>
        <w:t>ongoing</w:t>
        <w:tab/>
        <w:t>software</w:t>
        <w:tab/>
        <w:t>support</w:t>
        <w:tab/>
        <w:t>services</w:t>
        <w:tab/>
        <w:t xml:space="preserve"> to</w:t>
        <w:tab/>
        <w:t>assist</w:t>
        <w:tab/>
        <w:t>our</w:t>
        <w:tab/>
        <w:t>customers</w:t>
        <w:tab/>
        <w:t>in</w:t>
        <w:tab/>
        <w:t>operating</w:t>
        <w:tab/>
        <w:t>the</w:t>
        <w:tab/>
        <w:t>systems</w:t>
        <w:tab/>
        <w:t>and</w:t>
        <w:tab/>
        <w:t>to</w:t>
        <w:tab/>
        <w:t>periodically</w:t>
        <w:tab/>
        <w:t>update</w:t>
        <w:tab/>
        <w:t>the</w:t>
        <w:tab/>
        <w:t>software. 5.) Other</w:t>
        <w:tab/>
        <w:t>recurring</w:t>
        <w:tab/>
        <w:t>services</w:t>
        <w:tab/>
        <w:t>are</w:t>
        <w:tab/>
        <w:t>earned</w:t>
        <w:tab/>
        <w:t>when</w:t>
        <w:tab/>
        <w:t>we</w:t>
        <w:tab/>
        <w:t>provide</w:t>
        <w:tab/>
        <w:t>long-term,</w:t>
        <w:tab/>
        <w:t>usually</w:t>
        <w:tab/>
        <w:t>evergreen,</w:t>
        <w:tab/>
        <w:t>contracted</w:t>
        <w:tab/>
        <w:t>services</w:t>
        <w:tab/>
        <w:t>to</w:t>
        <w:tab/>
        <w:t>our</w:t>
        <w:tab/>
        <w:t>customers.</w:t>
        <w:tab/>
        <w:t>For</w:t>
        <w:tab/>
        <w:t>example,</w:t>
        <w:tab/>
        <w:t>we</w:t>
        <w:tab/>
        <w:t>provide</w:t>
        <w:tab/>
        <w:t xml:space="preserve"> recurring</w:t>
        <w:tab/>
        <w:t>long-term</w:t>
        <w:tab/>
        <w:t>contracts</w:t>
        <w:tab/>
        <w:t>such</w:t>
        <w:tab/>
        <w:t>as</w:t>
        <w:tab/>
        <w:t>software</w:t>
        <w:tab/>
        <w:t>support</w:t>
        <w:tab/>
        <w:t>plans,</w:t>
        <w:tab/>
        <w:t>hardware</w:t>
        <w:tab/>
        <w:t>maintenance</w:t>
        <w:tab/>
        <w:t>plans,</w:t>
        <w:tab/>
        <w:t>rental</w:t>
        <w:tab/>
        <w:t>plans</w:t>
        <w:tab/>
        <w:t>and</w:t>
        <w:tab/>
        <w:t>field</w:t>
        <w:tab/>
        <w:t>service</w:t>
        <w:tab/>
        <w:t>plans. 6.) Recurring</w:t>
        <w:tab/>
        <w:t>revenue</w:t>
        <w:tab/>
        <w:t>consists</w:t>
        <w:tab/>
        <w:t>of</w:t>
        <w:tab/>
        <w:t>software-as-a-service</w:t>
        <w:tab/>
        <w:t>(“SaaS”)</w:t>
        <w:tab/>
        <w:t>arrangements,</w:t>
        <w:tab/>
        <w:t>transaction-based</w:t>
        <w:tab/>
        <w:t>software-revenue,</w:t>
        <w:tab/>
        <w:t>software</w:t>
        <w:tab/>
        <w:t>maintenance</w:t>
        <w:tab/>
        <w:t>revenue,</w:t>
        <w:tab/>
        <w:t xml:space="preserve"> recurring</w:t>
        <w:tab/>
        <w:t>software-based</w:t>
        <w:tab/>
        <w:t>services,</w:t>
        <w:tab/>
        <w:t>payments</w:t>
        <w:tab/>
        <w:t>revenue</w:t>
        <w:tab/>
        <w:t>and</w:t>
        <w:tab/>
        <w:t>other</w:t>
        <w:tab/>
        <w:t>recurring</w:t>
        <w:tab/>
        <w:t>revenue</w:t>
        <w:tab/>
        <w:t>sources.</w:t>
        <w:tab/>
        <w:t>This</w:t>
        <w:tab/>
        <w:t>excludes</w:t>
        <w:tab/>
        <w:t>contracts</w:t>
        <w:tab/>
        <w:t>that</w:t>
        <w:tab/>
        <w:t>are</w:t>
        <w:tab/>
        <w:t>not</w:t>
        <w:tab/>
        <w:t>recurring</w:t>
        <w:tab/>
        <w:t>or</w:t>
        <w:tab/>
        <w:t>are</w:t>
        <w:tab/>
        <w:t>one- time</w:t>
        <w:tab/>
        <w:t>in</w:t>
        <w:tab/>
        <w:t>nature.</w:t>
        <w:tab/>
        <w:t xml:space="preserve"> 7.) Professional</w:t>
        <w:tab/>
        <w:t>services</w:t>
        <w:tab/>
        <w:t>are</w:t>
        <w:tab/>
        <w:t>earned</w:t>
        <w:tab/>
        <w:t>when</w:t>
        <w:tab/>
        <w:t>we</w:t>
        <w:tab/>
        <w:t>provide</w:t>
        <w:tab/>
        <w:t>customized</w:t>
        <w:tab/>
        <w:t>services</w:t>
        <w:tab/>
        <w:t>to</w:t>
        <w:tab/>
        <w:t>our</w:t>
        <w:tab/>
        <w:t>customers</w:t>
        <w:tab/>
        <w:t>who</w:t>
        <w:tab/>
        <w:t>utilize</w:t>
        <w:tab/>
        <w:t>our</w:t>
        <w:tab/>
        <w:t>software</w:t>
        <w:tab/>
        <w:t>products.</w:t>
        <w:tab/>
        <w:t>Many</w:t>
        <w:tab/>
        <w:t>of</w:t>
        <w:tab/>
        <w:t>our</w:t>
        <w:tab/>
        <w:t>customers</w:t>
        <w:tab/>
        <w:t xml:space="preserve"> contract</w:t>
        <w:tab/>
        <w:t>with</w:t>
        <w:tab/>
        <w:t>us</w:t>
        <w:tab/>
        <w:t>for</w:t>
        <w:tab/>
        <w:t>installation,</w:t>
        <w:tab/>
        <w:t>configuration,</w:t>
        <w:tab/>
        <w:t>training,</w:t>
        <w:tab/>
        <w:t>and</w:t>
        <w:tab/>
        <w:t>data</w:t>
        <w:tab/>
        <w:t>conversion</w:t>
        <w:tab/>
        <w:t>projects,</w:t>
        <w:tab/>
        <w:t>which</w:t>
        <w:tab/>
        <w:t>do</w:t>
        <w:tab/>
        <w:t>not</w:t>
        <w:tab/>
        <w:t>necessarily</w:t>
        <w:tab/>
        <w:t>recur,</w:t>
        <w:tab/>
        <w:t>and</w:t>
        <w:tab/>
        <w:t>as</w:t>
        <w:tab/>
        <w:t>such</w:t>
        <w:tab/>
        <w:t>are</w:t>
        <w:tab/>
        <w:t>excluded</w:t>
        <w:tab/>
        <w:t>from</w:t>
        <w:tab/>
        <w:t xml:space="preserve"> our</w:t>
        <w:tab/>
        <w:t>calculation</w:t>
        <w:tab/>
        <w:t>of</w:t>
        <w:tab/>
        <w:t>ARR. 8.) Annualized</w:t>
        <w:tab/>
        <w:t>Recurring</w:t>
        <w:tab/>
        <w:t>Revenue</w:t>
        <w:tab/>
        <w:t>(ARR)</w:t>
        <w:tab/>
        <w:t>is</w:t>
        <w:tab/>
        <w:t>the</w:t>
        <w:tab/>
        <w:t>annualized</w:t>
        <w:tab/>
        <w:t>revenue</w:t>
        <w:tab/>
        <w:t>derived</w:t>
        <w:tab/>
        <w:t>from</w:t>
        <w:tab/>
        <w:t>recurring</w:t>
        <w:tab/>
        <w:t>sources</w:t>
        <w:tab/>
        <w:t>where</w:t>
        <w:tab/>
        <w:t>the</w:t>
        <w:tab/>
        <w:t>Company</w:t>
        <w:tab/>
        <w:t>has</w:t>
        <w:tab/>
        <w:t>an</w:t>
        <w:tab/>
        <w:t>ongoing</w:t>
        <w:tab/>
        <w:t>contract</w:t>
        <w:tab/>
        <w:t>with</w:t>
        <w:tab/>
        <w:t>our</w:t>
        <w:tab/>
        <w:t xml:space="preserve"> customers.</w:t>
        <w:tab/>
        <w:t>We</w:t>
        <w:tab/>
        <w:t>believe</w:t>
        <w:tab/>
        <w:t>revenue</w:t>
        <w:tab/>
        <w:t>from</w:t>
        <w:tab/>
        <w:t>recurring</w:t>
        <w:tab/>
        <w:t>sources</w:t>
        <w:tab/>
        <w:t>is</w:t>
        <w:tab/>
        <w:t>a</w:t>
        <w:tab/>
        <w:t>strategic</w:t>
        <w:tab/>
        <w:t>priority.</w:t>
        <w:tab/>
        <w:t>ARR</w:t>
        <w:tab/>
        <w:t>is</w:t>
        <w:tab/>
        <w:t>comprised</w:t>
        <w:tab/>
        <w:t>of</w:t>
        <w:tab/>
        <w:t>software-as-a-service</w:t>
        <w:tab/>
        <w:t>(“SaaS”)</w:t>
        <w:tab/>
        <w:t>arrangements,</w:t>
        <w:tab/>
        <w:t xml:space="preserve"> transaction-based</w:t>
        <w:tab/>
        <w:t>software-revenue,</w:t>
        <w:tab/>
        <w:t>software</w:t>
        <w:tab/>
        <w:t>maintenance,</w:t>
        <w:tab/>
        <w:t>recurring</w:t>
        <w:tab/>
        <w:t>software-based</w:t>
        <w:tab/>
        <w:t>services,</w:t>
        <w:tab/>
        <w:t>payments</w:t>
        <w:tab/>
        <w:t>revenue</w:t>
        <w:tab/>
        <w:t>and</w:t>
        <w:tab/>
        <w:t>other</w:t>
        <w:tab/>
        <w:t>recurring</w:t>
        <w:tab/>
        <w:t>revenue</w:t>
        <w:tab/>
        <w:t xml:space="preserve"> sources</w:t>
        <w:tab/>
        <w:t>within</w:t>
        <w:tab/>
        <w:t>the</w:t>
        <w:tab/>
        <w:t>quarter.</w:t>
        <w:tab/>
        <w:t>The</w:t>
        <w:tab/>
        <w:t>sum</w:t>
        <w:tab/>
        <w:t>of</w:t>
        <w:tab/>
        <w:t>these</w:t>
        <w:tab/>
        <w:t>revenue</w:t>
        <w:tab/>
        <w:t>categories</w:t>
        <w:tab/>
        <w:t>is</w:t>
        <w:tab/>
        <w:t>multiplied</w:t>
        <w:tab/>
        <w:t>by</w:t>
        <w:tab/>
        <w:t>four</w:t>
        <w:tab/>
        <w:t>to</w:t>
        <w:tab/>
        <w:t>calculate</w:t>
        <w:tab/>
        <w:t>ARR.</w:t>
        <w:tab/>
        <w:t>ARR</w:t>
        <w:tab/>
        <w:t>excludes</w:t>
        <w:tab/>
        <w:t>revenue</w:t>
        <w:tab/>
        <w:t>that</w:t>
        <w:tab/>
        <w:t>is</w:t>
        <w:tab/>
        <w:t>not</w:t>
        <w:tab/>
        <w:t>recurring</w:t>
        <w:tab/>
        <w:t>or</w:t>
        <w:tab/>
        <w:t>is</w:t>
        <w:tab/>
        <w:t xml:space="preserve"> one-time</w:t>
        <w:tab/>
        <w:t>in</w:t>
        <w:tab/>
        <w:t>nature.</w:t>
        <w:tab/>
        <w:t>We</w:t>
        <w:tab/>
        <w:t>believe</w:t>
        <w:tab/>
        <w:t>this</w:t>
        <w:tab/>
        <w:t>metric</w:t>
        <w:tab/>
        <w:t>provides</w:t>
        <w:tab/>
        <w:t>useful</w:t>
        <w:tab/>
        <w:t>information</w:t>
        <w:tab/>
        <w:t>to</w:t>
        <w:tab/>
        <w:t>investors</w:t>
        <w:tab/>
        <w:t>by</w:t>
        <w:tab/>
        <w:t>providing</w:t>
        <w:tab/>
        <w:t>visibility</w:t>
        <w:tab/>
        <w:t>regarding</w:t>
        <w:tab/>
        <w:t>the</w:t>
        <w:tab/>
        <w:t>ongoing</w:t>
        <w:tab/>
        <w:t>revenue</w:t>
        <w:tab/>
        <w:t>potential</w:t>
        <w:tab/>
        <w:t>of</w:t>
        <w:tab/>
        <w:t xml:space="preserve"> our</w:t>
        <w:tab/>
        <w:t>business</w:t>
        <w:tab/>
        <w:t>model</w:t>
        <w:tab/>
        <w:t>and</w:t>
        <w:tab/>
        <w:t>providing</w:t>
        <w:tab/>
        <w:t>a</w:t>
        <w:tab/>
        <w:t>clearer</w:t>
        <w:tab/>
        <w:t>picture</w:t>
        <w:tab/>
        <w:t>of</w:t>
        <w:tab/>
        <w:t>our</w:t>
        <w:tab/>
        <w:t>sustainable</w:t>
        <w:tab/>
        <w:t>revenue</w:t>
        <w:tab/>
        <w:t>base.</w:t>
        <w:tab/>
        <w:t>Further,</w:t>
        <w:tab/>
        <w:t>management</w:t>
        <w:tab/>
        <w:t>uses</w:t>
        <w:tab/>
        <w:t>ARR</w:t>
        <w:tab/>
        <w:t>as</w:t>
        <w:tab/>
        <w:t>a</w:t>
        <w:tab/>
        <w:t>metric</w:t>
        <w:tab/>
        <w:t>because</w:t>
        <w:tab/>
        <w:t>it</w:t>
        <w:tab/>
        <w:t>helps</w:t>
        <w:tab/>
        <w:t>to</w:t>
        <w:tab/>
        <w:t xml:space="preserve"> assess</w:t>
        <w:tab/>
        <w:t>the</w:t>
        <w:tab/>
        <w:t>health</w:t>
        <w:tab/>
        <w:t>and</w:t>
        <w:tab/>
        <w:t>trajectory</w:t>
        <w:tab/>
        <w:t>of</w:t>
        <w:tab/>
        <w:t>our</w:t>
        <w:tab/>
        <w:t>business.</w:t>
        <w:tab/>
        <w:t>Our</w:t>
        <w:tab/>
        <w:t>management</w:t>
        <w:tab/>
        <w:t>believes</w:t>
        <w:tab/>
        <w:t>that</w:t>
        <w:tab/>
        <w:t>focusing</w:t>
        <w:tab/>
        <w:t>on</w:t>
        <w:tab/>
        <w:t>ARR</w:t>
        <w:tab/>
        <w:t>can</w:t>
        <w:tab/>
        <w:t>orient</w:t>
        <w:tab/>
        <w:t>our</w:t>
        <w:tab/>
        <w:t>sales</w:t>
        <w:tab/>
        <w:t>and</w:t>
        <w:tab/>
        <w:t>operations</w:t>
        <w:tab/>
        <w:t>management</w:t>
        <w:tab/>
        <w:t xml:space="preserve"> towards</w:t>
        <w:tab/>
        <w:t>long-term,</w:t>
        <w:tab/>
        <w:t>reliable</w:t>
        <w:tab/>
        <w:t>revenue</w:t>
        <w:tab/>
        <w:t>growth.</w:t>
        <w:tab/>
        <w:t>This</w:t>
        <w:tab/>
        <w:t>focus</w:t>
        <w:tab/>
        <w:t>on</w:t>
        <w:tab/>
        <w:t>recurring</w:t>
        <w:tab/>
        <w:t>revenue</w:t>
        <w:tab/>
        <w:t>is</w:t>
        <w:tab/>
        <w:t>particularly</w:t>
        <w:tab/>
        <w:t>relevant</w:t>
        <w:tab/>
        <w:t>for</w:t>
        <w:tab/>
        <w:t>businesses</w:t>
        <w:tab/>
        <w:t>operating</w:t>
        <w:tab/>
        <w:t>under</w:t>
        <w:tab/>
        <w:t>a</w:t>
        <w:tab/>
        <w:t>subscription</w:t>
        <w:tab/>
        <w:t xml:space="preserve"> model,</w:t>
        <w:tab/>
        <w:t>where</w:t>
        <w:tab/>
        <w:t>customer</w:t>
        <w:tab/>
        <w:t>retention</w:t>
        <w:tab/>
        <w:t>and</w:t>
        <w:tab/>
        <w:t>contract</w:t>
        <w:tab/>
        <w:t>renewals</w:t>
        <w:tab/>
        <w:t>play</w:t>
        <w:tab/>
        <w:t>a</w:t>
        <w:tab/>
        <w:t>significant</w:t>
        <w:tab/>
        <w:t>role</w:t>
        <w:tab/>
        <w:t>in</w:t>
        <w:tab/>
        <w:t>long-term</w:t>
        <w:tab/>
        <w:t>financial</w:t>
        <w:tab/>
        <w:t>performance.</w:t>
        <w:tab/>
        <w:t>ARR</w:t>
        <w:tab/>
        <w:t>does</w:t>
        <w:tab/>
        <w:t>not</w:t>
        <w:tab/>
        <w:t>have</w:t>
        <w:tab/>
        <w:t>a</w:t>
        <w:tab/>
        <w:t>standardized</w:t>
        <w:tab/>
        <w:t xml:space="preserve"> definition</w:t>
        <w:tab/>
        <w:t>and</w:t>
        <w:tab/>
        <w:t>is</w:t>
        <w:tab/>
        <w:t>therefore</w:t>
        <w:tab/>
        <w:t>unlikely</w:t>
        <w:tab/>
        <w:t>to</w:t>
        <w:tab/>
        <w:t>be</w:t>
        <w:tab/>
        <w:t>comparable</w:t>
        <w:tab/>
        <w:t>to</w:t>
        <w:tab/>
        <w:t>similarly</w:t>
        <w:tab/>
        <w:t>titled</w:t>
        <w:tab/>
        <w:t>measures</w:t>
        <w:tab/>
        <w:t>presented</w:t>
        <w:tab/>
        <w:t>by</w:t>
        <w:tab/>
        <w:t>other</w:t>
        <w:tab/>
        <w:t>companies.</w:t>
        <w:tab/>
        <w:t>It</w:t>
        <w:tab/>
        <w:t>should</w:t>
        <w:tab/>
        <w:t>be</w:t>
        <w:tab/>
        <w:t>reviewed</w:t>
        <w:tab/>
        <w:t>independently</w:t>
        <w:tab/>
        <w:t xml:space="preserve"> of</w:t>
        <w:tab/>
        <w:t>revenue,</w:t>
        <w:tab/>
        <w:t>and</w:t>
        <w:tab/>
        <w:t>it</w:t>
        <w:tab/>
        <w:t>is</w:t>
        <w:tab/>
        <w:t>not</w:t>
        <w:tab/>
        <w:t>a</w:t>
        <w:tab/>
        <w:t>forecast.</w:t>
        <w:tab/>
        <w:t>Additionally,</w:t>
        <w:tab/>
        <w:t>ARR</w:t>
        <w:tab/>
        <w:t>does</w:t>
        <w:tab/>
        <w:t>not</w:t>
        <w:tab/>
        <w:t>take</w:t>
        <w:tab/>
        <w:t>into</w:t>
        <w:tab/>
        <w:t>account</w:t>
        <w:tab/>
        <w:t>seasonality.</w:t>
        <w:tab/>
        <w:t>The</w:t>
        <w:tab/>
        <w:t>active</w:t>
        <w:tab/>
        <w:t>contracts</w:t>
        <w:tab/>
        <w:t>at</w:t>
        <w:tab/>
        <w:t>the</w:t>
        <w:tab/>
        <w:t>end</w:t>
        <w:tab/>
        <w:t>of</w:t>
        <w:tab/>
        <w:t>a</w:t>
        <w:tab/>
        <w:t>reporting</w:t>
        <w:tab/>
        <w:t>period</w:t>
        <w:tab/>
        <w:t>used</w:t>
        <w:tab/>
        <w:t xml:space="preserve"> in</w:t>
        <w:tab/>
        <w:t>calculating</w:t>
        <w:tab/>
        <w:t>ARR</w:t>
        <w:tab/>
        <w:t>may</w:t>
        <w:tab/>
        <w:t>or</w:t>
        <w:tab/>
        <w:t>may</w:t>
        <w:tab/>
        <w:t>not</w:t>
        <w:tab/>
        <w:t>be</w:t>
        <w:tab/>
        <w:t>extended</w:t>
        <w:tab/>
        <w:t>or</w:t>
        <w:tab/>
        <w:t>renewed</w:t>
        <w:tab/>
        <w:t>by</w:t>
        <w:tab/>
        <w:t>our</w:t>
        <w:tab/>
        <w:t>customers.</w:t>
        <w:tab/>
        <w:t xml:space="preserve"> Revenue Composition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4 Q2 Fiscal 2026 GAAP Measures; Use of Non-GAAP Financial Measures The</w:t>
        <w:tab/>
        <w:t>following</w:t>
        <w:tab/>
        <w:t>is</w:t>
        <w:tab/>
        <w:t>our</w:t>
        <w:tab/>
        <w:t>income</w:t>
        <w:tab/>
        <w:t>(loss)</w:t>
        <w:tab/>
        <w:t>from</w:t>
        <w:tab/>
        <w:t>operations</w:t>
        <w:tab/>
        <w:t>for</w:t>
        <w:tab/>
        <w:t>the</w:t>
        <w:tab/>
        <w:t>current</w:t>
        <w:tab/>
        <w:t>and</w:t>
        <w:tab/>
        <w:t>prior</w:t>
        <w:tab/>
        <w:t>year</w:t>
        <w:tab/>
        <w:t>quarters</w:t>
        <w:tab/>
        <w:t>calculated</w:t>
        <w:tab/>
        <w:t>in</w:t>
        <w:tab/>
        <w:t>accordance</w:t>
        <w:tab/>
        <w:t>with</w:t>
        <w:tab/>
        <w:t>GAAP</w:t>
        <w:tab/>
        <w:t>and</w:t>
        <w:tab/>
        <w:t>presented</w:t>
        <w:tab/>
        <w:t>for</w:t>
        <w:tab/>
        <w:t>continuing</w:t>
        <w:tab/>
        <w:t>operations</w:t>
        <w:tab/>
        <w:t>only.</w:t>
        <w:tab/>
        <w:t xml:space="preserve"> This</w:t>
        <w:tab/>
        <w:t>presentation</w:t>
        <w:tab/>
        <w:t>includes</w:t>
        <w:tab/>
        <w:t>the</w:t>
        <w:tab/>
        <w:t>disclosure</w:t>
        <w:tab/>
        <w:t>of</w:t>
        <w:tab/>
        <w:t>certain</w:t>
        <w:tab/>
        <w:t>non-GAAP</w:t>
        <w:tab/>
        <w:t>financial</w:t>
        <w:tab/>
        <w:t>measures</w:t>
        <w:tab/>
        <w:t>presented</w:t>
        <w:tab/>
        <w:t>by</w:t>
        <w:tab/>
        <w:t>the</w:t>
        <w:tab/>
        <w:t>Company,</w:t>
        <w:tab/>
        <w:t>including</w:t>
        <w:tab/>
        <w:t>the</w:t>
        <w:tab/>
        <w:t>following: • Adjusted</w:t>
        <w:tab/>
        <w:t xml:space="preserve"> Income</w:t>
        <w:tab/>
        <w:t>Before</w:t>
        <w:tab/>
        <w:t>Taxes</w:t>
        <w:tab/>
        <w:t xml:space="preserve"> from</w:t>
        <w:tab/>
        <w:t>Continuing</w:t>
        <w:tab/>
        <w:t>Operations.</w:t>
        <w:tab/>
        <w:t>Adjusted</w:t>
        <w:tab/>
        <w:t xml:space="preserve"> income</w:t>
        <w:tab/>
        <w:t>before</w:t>
        <w:tab/>
        <w:t xml:space="preserve"> taxes</w:t>
        <w:tab/>
        <w:t xml:space="preserve"> from</w:t>
        <w:tab/>
        <w:t>continuing</w:t>
        <w:tab/>
        <w:t>operations</w:t>
        <w:tab/>
        <w:t>equals</w:t>
        <w:tab/>
        <w:t>net</w:t>
        <w:tab/>
        <w:t xml:space="preserve"> income</w:t>
        <w:tab/>
        <w:t xml:space="preserve"> (loss)</w:t>
        <w:tab/>
        <w:t xml:space="preserve"> from</w:t>
        <w:tab/>
        <w:t>continuing</w:t>
        <w:tab/>
        <w:t xml:space="preserve"> operations</w:t>
        <w:tab/>
        <w:t>attributable</w:t>
        <w:tab/>
        <w:t>to</w:t>
        <w:tab/>
        <w:t>i3</w:t>
        <w:tab/>
        <w:t>Verticals</w:t>
        <w:tab/>
        <w:t>Inc.,</w:t>
        <w:tab/>
        <w:t>adjusted</w:t>
        <w:tab/>
        <w:t>to</w:t>
        <w:tab/>
        <w:t>add</w:t>
        <w:tab/>
        <w:t>back</w:t>
        <w:tab/>
        <w:t>net</w:t>
        <w:tab/>
        <w:t>income</w:t>
        <w:tab/>
        <w:t>(loss)</w:t>
        <w:tab/>
        <w:t>from</w:t>
        <w:tab/>
        <w:t>continuing</w:t>
        <w:tab/>
        <w:t>operations</w:t>
        <w:tab/>
        <w:t>attributable</w:t>
        <w:tab/>
        <w:t>to</w:t>
        <w:tab/>
        <w:t>non-controlling</w:t>
        <w:tab/>
        <w:t>interest</w:t>
        <w:tab/>
        <w:t>and</w:t>
        <w:tab/>
        <w:t>to</w:t>
        <w:tab/>
        <w:t>exclude</w:t>
        <w:tab/>
        <w:t xml:space="preserve"> certain</w:t>
        <w:tab/>
        <w:t>items</w:t>
        <w:tab/>
        <w:t>on</w:t>
        <w:tab/>
        <w:t>a</w:t>
        <w:tab/>
        <w:t>pre-tax</w:t>
        <w:tab/>
        <w:t>basis</w:t>
        <w:tab/>
        <w:t>which</w:t>
        <w:tab/>
        <w:t>the</w:t>
        <w:tab/>
        <w:t>Company</w:t>
        <w:tab/>
        <w:t>believes</w:t>
        <w:tab/>
        <w:t>may</w:t>
        <w:tab/>
        <w:t>not</w:t>
        <w:tab/>
        <w:t>fully</w:t>
        <w:tab/>
        <w:t>reflect</w:t>
        <w:tab/>
        <w:t>our</w:t>
        <w:tab/>
        <w:t>underlying</w:t>
        <w:tab/>
        <w:t>operating</w:t>
        <w:tab/>
        <w:t>performance.</w:t>
        <w:tab/>
        <w:t>The</w:t>
        <w:tab/>
        <w:t>Company</w:t>
        <w:tab/>
        <w:t>believes</w:t>
        <w:tab/>
        <w:t>that</w:t>
        <w:tab/>
        <w:t>this</w:t>
        <w:tab/>
        <w:t>non-GAAP</w:t>
        <w:tab/>
        <w:t xml:space="preserve"> measure</w:t>
        <w:tab/>
        <w:t xml:space="preserve"> provides</w:t>
        <w:tab/>
        <w:t xml:space="preserve"> useful</w:t>
        <w:tab/>
        <w:t xml:space="preserve"> information</w:t>
        <w:tab/>
        <w:t xml:space="preserve"> to</w:t>
        <w:tab/>
        <w:t xml:space="preserve"> investors</w:t>
        <w:tab/>
        <w:t xml:space="preserve"> in</w:t>
        <w:tab/>
        <w:t xml:space="preserve"> understanding</w:t>
        <w:tab/>
        <w:t xml:space="preserve"> and</w:t>
        <w:tab/>
        <w:t xml:space="preserve"> evaluating</w:t>
        <w:tab/>
        <w:t xml:space="preserve"> the</w:t>
        <w:tab/>
        <w:t xml:space="preserve"> Company’s</w:t>
        <w:tab/>
        <w:t xml:space="preserve"> results</w:t>
        <w:tab/>
        <w:t xml:space="preserve"> of</w:t>
        <w:tab/>
        <w:t xml:space="preserve"> continuing</w:t>
        <w:tab/>
        <w:t xml:space="preserve"> operations</w:t>
        <w:tab/>
        <w:t xml:space="preserve"> and</w:t>
        <w:tab/>
        <w:t xml:space="preserve"> ongoing</w:t>
        <w:tab/>
        <w:t xml:space="preserve"> operational</w:t>
        <w:tab/>
        <w:t xml:space="preserve"> performance</w:t>
        <w:tab/>
        <w:t>on</w:t>
        <w:tab/>
        <w:t>a</w:t>
        <w:tab/>
        <w:t>pre-tax</w:t>
        <w:tab/>
        <w:t>basis. • Adjusted</w:t>
        <w:tab/>
        <w:t>Net</w:t>
        <w:tab/>
        <w:t xml:space="preserve"> Income</w:t>
        <w:tab/>
        <w:t xml:space="preserve"> from</w:t>
        <w:tab/>
        <w:t>Continuing</w:t>
        <w:tab/>
        <w:t>Operations</w:t>
        <w:tab/>
        <w:t>and</w:t>
        <w:tab/>
        <w:t>Adjusted</w:t>
        <w:tab/>
        <w:t>Diluted</w:t>
        <w:tab/>
        <w:t>Earnings</w:t>
        <w:tab/>
        <w:t>Per</w:t>
        <w:tab/>
        <w:t>Share</w:t>
        <w:tab/>
        <w:t xml:space="preserve"> from</w:t>
        <w:tab/>
        <w:t>Continuing</w:t>
        <w:tab/>
        <w:t>Operations.</w:t>
        <w:tab/>
        <w:t>Adjusted</w:t>
        <w:tab/>
        <w:t>net</w:t>
        <w:tab/>
        <w:t xml:space="preserve"> income</w:t>
        <w:tab/>
        <w:t xml:space="preserve"> from</w:t>
        <w:tab/>
        <w:t>continuing</w:t>
        <w:tab/>
        <w:t xml:space="preserve"> operations</w:t>
        <w:tab/>
        <w:t>equals</w:t>
        <w:tab/>
        <w:t>adjusted</w:t>
        <w:tab/>
        <w:t>income</w:t>
        <w:tab/>
        <w:t>before</w:t>
        <w:tab/>
        <w:t>taxes</w:t>
        <w:tab/>
        <w:t>from</w:t>
        <w:tab/>
        <w:t>continuing</w:t>
        <w:tab/>
        <w:t>operations</w:t>
        <w:tab/>
        <w:t>as</w:t>
        <w:tab/>
        <w:t>described</w:t>
        <w:tab/>
        <w:t>above,</w:t>
        <w:tab/>
        <w:t>adjusted</w:t>
        <w:tab/>
        <w:t>to</w:t>
        <w:tab/>
        <w:t>give</w:t>
        <w:tab/>
        <w:t>effect</w:t>
        <w:tab/>
        <w:t>to</w:t>
        <w:tab/>
        <w:t>an</w:t>
        <w:tab/>
        <w:t>effective</w:t>
        <w:tab/>
        <w:t>tax</w:t>
        <w:tab/>
        <w:t>rate</w:t>
        <w:tab/>
        <w:t>of</w:t>
        <w:tab/>
        <w:t>25%,</w:t>
        <w:tab/>
        <w:t>which</w:t>
        <w:tab/>
        <w:t>reflects</w:t>
        <w:tab/>
        <w:t xml:space="preserve"> our</w:t>
        <w:tab/>
        <w:t>estimated</w:t>
        <w:tab/>
        <w:t>long-term</w:t>
        <w:tab/>
        <w:t>effective</w:t>
        <w:tab/>
        <w:t>tax</w:t>
        <w:tab/>
        <w:t>rate,</w:t>
        <w:tab/>
        <w:t>considering</w:t>
        <w:tab/>
        <w:t>blended</w:t>
        <w:tab/>
        <w:t>federal</w:t>
        <w:tab/>
        <w:t>and</w:t>
        <w:tab/>
        <w:t>state</w:t>
        <w:tab/>
        <w:t>tax</w:t>
        <w:tab/>
        <w:t>rates.</w:t>
        <w:tab/>
        <w:t>Adjusted</w:t>
        <w:tab/>
        <w:t>diluted</w:t>
        <w:tab/>
        <w:t>earnings</w:t>
        <w:tab/>
        <w:t>per</w:t>
        <w:tab/>
        <w:t>share</w:t>
        <w:tab/>
        <w:t>from</w:t>
        <w:tab/>
        <w:t>continuing</w:t>
        <w:tab/>
        <w:t>operations</w:t>
        <w:tab/>
        <w:t>equals</w:t>
        <w:tab/>
        <w:t xml:space="preserve"> adjusted</w:t>
        <w:tab/>
        <w:t xml:space="preserve"> net</w:t>
        <w:tab/>
        <w:t xml:space="preserve"> income</w:t>
        <w:tab/>
        <w:t xml:space="preserve"> from</w:t>
        <w:tab/>
        <w:t xml:space="preserve"> continuing</w:t>
        <w:tab/>
        <w:t xml:space="preserve"> operations</w:t>
        <w:tab/>
        <w:t xml:space="preserve"> divided</w:t>
        <w:tab/>
        <w:t xml:space="preserve"> by</w:t>
        <w:tab/>
        <w:t xml:space="preserve"> our</w:t>
        <w:tab/>
        <w:t xml:space="preserve"> adjusted</w:t>
        <w:tab/>
        <w:t>weighted</w:t>
        <w:tab/>
        <w:t xml:space="preserve"> average</w:t>
        <w:tab/>
        <w:t xml:space="preserve"> shares</w:t>
        <w:tab/>
        <w:t xml:space="preserve"> of</w:t>
        <w:tab/>
        <w:t xml:space="preserve"> adjusted</w:t>
        <w:tab/>
        <w:t xml:space="preserve"> diluted</w:t>
        <w:tab/>
        <w:t xml:space="preserve"> Class</w:t>
        <w:tab/>
        <w:t xml:space="preserve"> A</w:t>
        <w:tab/>
        <w:t xml:space="preserve"> common</w:t>
        <w:tab/>
        <w:t xml:space="preserve"> stock</w:t>
        <w:tab/>
        <w:t xml:space="preserve"> outstanding.</w:t>
        <w:tab/>
        <w:t xml:space="preserve"> The</w:t>
        <w:tab/>
        <w:t xml:space="preserve"> Company</w:t>
        <w:tab/>
        <w:t xml:space="preserve"> believes</w:t>
        <w:tab/>
        <w:t xml:space="preserve"> that</w:t>
        <w:tab/>
        <w:t xml:space="preserve"> these</w:t>
        <w:tab/>
        <w:t xml:space="preserve"> non-GAAP</w:t>
        <w:tab/>
        <w:t>measures</w:t>
        <w:tab/>
        <w:t xml:space="preserve"> provide</w:t>
        <w:tab/>
        <w:t xml:space="preserve"> useful</w:t>
        <w:tab/>
        <w:t xml:space="preserve"> information</w:t>
        <w:tab/>
        <w:t xml:space="preserve"> to</w:t>
        <w:tab/>
        <w:t xml:space="preserve"> investors</w:t>
        <w:tab/>
        <w:t xml:space="preserve"> in</w:t>
        <w:tab/>
        <w:t xml:space="preserve"> understanding</w:t>
        <w:tab/>
        <w:t xml:space="preserve"> and</w:t>
        <w:tab/>
        <w:t xml:space="preserve"> evaluating</w:t>
        <w:tab/>
        <w:t xml:space="preserve"> the</w:t>
        <w:tab/>
        <w:t xml:space="preserve"> Company’s</w:t>
        <w:tab/>
        <w:t xml:space="preserve"> results</w:t>
        <w:tab/>
        <w:t xml:space="preserve"> of</w:t>
        <w:tab/>
        <w:t xml:space="preserve"> continuing</w:t>
        <w:tab/>
        <w:t xml:space="preserve"> operations</w:t>
        <w:tab/>
        <w:t>and</w:t>
        <w:tab/>
        <w:t>ongoing</w:t>
        <w:tab/>
        <w:t>operational</w:t>
        <w:tab/>
        <w:t>performance</w:t>
        <w:tab/>
        <w:t>on</w:t>
        <w:tab/>
        <w:t>a</w:t>
        <w:tab/>
        <w:t>post-tax</w:t>
        <w:tab/>
        <w:t>basis</w:t>
        <w:tab/>
        <w:t>after</w:t>
        <w:tab/>
        <w:t>giving</w:t>
        <w:tab/>
        <w:t>effect</w:t>
        <w:tab/>
        <w:t>to</w:t>
        <w:tab/>
        <w:t>this</w:t>
        <w:tab/>
        <w:t>assumed</w:t>
        <w:tab/>
        <w:t>tax</w:t>
        <w:tab/>
        <w:t>rate.</w:t>
        <w:tab/>
        <w:t>Adjusted</w:t>
        <w:tab/>
        <w:t>Diluted</w:t>
        <w:tab/>
        <w:t>Earnings</w:t>
        <w:tab/>
        <w:t>per</w:t>
        <w:tab/>
        <w:t>Share</w:t>
        <w:tab/>
        <w:t>from</w:t>
        <w:tab/>
        <w:t>Continuing</w:t>
        <w:tab/>
        <w:t xml:space="preserve"> Operations</w:t>
        <w:tab/>
        <w:t>has</w:t>
        <w:tab/>
        <w:t>also</w:t>
        <w:tab/>
        <w:t>been</w:t>
        <w:tab/>
        <w:t>utilized</w:t>
        <w:tab/>
        <w:t>as</w:t>
        <w:tab/>
        <w:t>a</w:t>
        <w:tab/>
        <w:t>metric</w:t>
        <w:tab/>
        <w:t>in</w:t>
        <w:tab/>
        <w:t>connection</w:t>
        <w:tab/>
        <w:t>with</w:t>
        <w:tab/>
        <w:t>performance-based</w:t>
        <w:tab/>
        <w:t>equity</w:t>
        <w:tab/>
        <w:t>awards</w:t>
        <w:tab/>
        <w:t>previously</w:t>
        <w:tab/>
        <w:t>granted</w:t>
        <w:tab/>
        <w:t>by</w:t>
        <w:tab/>
        <w:t>the</w:t>
        <w:tab/>
        <w:t>Company</w:t>
        <w:tab/>
        <w:t>to</w:t>
        <w:tab/>
        <w:t>executives. • Adjusted</w:t>
        <w:tab/>
        <w:t>EBITDA</w:t>
        <w:tab/>
        <w:t>from</w:t>
        <w:tab/>
        <w:t>Continuing</w:t>
        <w:tab/>
        <w:t>Operations</w:t>
        <w:tab/>
        <w:t>and</w:t>
        <w:tab/>
        <w:t>Adjusted</w:t>
        <w:tab/>
        <w:t>EBITDA</w:t>
        <w:tab/>
        <w:t>Margin</w:t>
        <w:tab/>
        <w:t>from</w:t>
        <w:tab/>
        <w:t>Continuing</w:t>
        <w:tab/>
        <w:t>Operations.</w:t>
        <w:tab/>
        <w:t>Adjusted</w:t>
        <w:tab/>
        <w:t>EBITDA</w:t>
        <w:tab/>
        <w:t>from</w:t>
        <w:tab/>
        <w:t>continuing</w:t>
        <w:tab/>
        <w:t>operations</w:t>
        <w:tab/>
        <w:t>equals</w:t>
        <w:tab/>
        <w:t>net</w:t>
        <w:tab/>
        <w:t xml:space="preserve"> income</w:t>
        <w:tab/>
        <w:t xml:space="preserve"> (loss)</w:t>
        <w:tab/>
        <w:t xml:space="preserve"> from</w:t>
        <w:tab/>
        <w:t>continuing</w:t>
        <w:tab/>
        <w:t>operations</w:t>
        <w:tab/>
        <w:t>attributable</w:t>
        <w:tab/>
        <w:t xml:space="preserve"> to</w:t>
        <w:tab/>
        <w:t xml:space="preserve"> i3</w:t>
        <w:tab/>
        <w:t>Verticals</w:t>
        <w:tab/>
        <w:t xml:space="preserve"> Inc.,</w:t>
        <w:tab/>
        <w:t>before</w:t>
        <w:tab/>
        <w:t xml:space="preserve"> interest,</w:t>
        <w:tab/>
        <w:t xml:space="preserve"> income</w:t>
        <w:tab/>
        <w:t>taxes,</w:t>
        <w:tab/>
        <w:t>depreciation</w:t>
        <w:tab/>
        <w:t>and</w:t>
        <w:tab/>
        <w:t>amortization,</w:t>
        <w:tab/>
        <w:t>adjusted</w:t>
        <w:tab/>
        <w:t xml:space="preserve"> to</w:t>
        <w:tab/>
        <w:t>add</w:t>
        <w:tab/>
        <w:t>back</w:t>
        <w:tab/>
        <w:t>net</w:t>
        <w:tab/>
        <w:t xml:space="preserve"> income</w:t>
        <w:tab/>
        <w:t>(loss)</w:t>
        <w:tab/>
        <w:t>from</w:t>
        <w:tab/>
        <w:t>continuing</w:t>
        <w:tab/>
        <w:t>operations</w:t>
        <w:tab/>
        <w:t>attributable</w:t>
        <w:tab/>
        <w:t>to</w:t>
        <w:tab/>
        <w:t>non-controlling</w:t>
        <w:tab/>
        <w:t>interest,</w:t>
        <w:tab/>
        <w:t>and</w:t>
        <w:tab/>
        <w:t>to</w:t>
        <w:tab/>
        <w:t>exclude</w:t>
        <w:tab/>
        <w:t>certain</w:t>
        <w:tab/>
        <w:t>items</w:t>
        <w:tab/>
        <w:t>which</w:t>
        <w:tab/>
        <w:t>the</w:t>
        <w:tab/>
        <w:t>Company</w:t>
        <w:tab/>
        <w:t>believes</w:t>
        <w:tab/>
        <w:t>do</w:t>
        <w:tab/>
        <w:t>not</w:t>
        <w:tab/>
        <w:t>fully</w:t>
        <w:tab/>
        <w:t>reflect</w:t>
        <w:tab/>
        <w:t>our</w:t>
        <w:tab/>
        <w:t xml:space="preserve"> underlying</w:t>
        <w:tab/>
        <w:t>operating</w:t>
        <w:tab/>
        <w:t>performance.</w:t>
        <w:tab/>
        <w:t>Adjusted</w:t>
        <w:tab/>
        <w:t>EBITDA</w:t>
        <w:tab/>
        <w:t>margin</w:t>
        <w:tab/>
        <w:t>represents</w:t>
        <w:tab/>
        <w:t>adjusted</w:t>
        <w:tab/>
        <w:t>EBITDA</w:t>
        <w:tab/>
        <w:t>as</w:t>
        <w:tab/>
        <w:t>a</w:t>
        <w:tab/>
        <w:t>percentage</w:t>
        <w:tab/>
        <w:t>of</w:t>
        <w:tab/>
        <w:t>revenue.</w:t>
        <w:tab/>
        <w:t>The</w:t>
        <w:tab/>
        <w:t>Company</w:t>
        <w:tab/>
        <w:t>believes</w:t>
        <w:tab/>
        <w:t>that</w:t>
        <w:tab/>
        <w:t>these</w:t>
        <w:tab/>
        <w:t>non-GAAP</w:t>
        <w:tab/>
        <w:t xml:space="preserve"> measures</w:t>
        <w:tab/>
        <w:t xml:space="preserve"> provide</w:t>
        <w:tab/>
        <w:t xml:space="preserve"> useful</w:t>
        <w:tab/>
        <w:t xml:space="preserve"> information</w:t>
        <w:tab/>
        <w:t xml:space="preserve"> to</w:t>
        <w:tab/>
        <w:t xml:space="preserve"> investors</w:t>
        <w:tab/>
        <w:t xml:space="preserve"> in</w:t>
        <w:tab/>
        <w:t xml:space="preserve"> understanding</w:t>
        <w:tab/>
        <w:t xml:space="preserve"> and</w:t>
        <w:tab/>
        <w:t xml:space="preserve"> evaluating</w:t>
        <w:tab/>
        <w:t xml:space="preserve"> the</w:t>
        <w:tab/>
        <w:t xml:space="preserve"> Company’s</w:t>
        <w:tab/>
        <w:t xml:space="preserve"> results</w:t>
        <w:tab/>
        <w:t xml:space="preserve"> of</w:t>
        <w:tab/>
        <w:t xml:space="preserve"> continuing</w:t>
        <w:tab/>
        <w:t xml:space="preserve"> operations</w:t>
        <w:tab/>
        <w:t xml:space="preserve"> and</w:t>
        <w:tab/>
        <w:t xml:space="preserve"> ongoing</w:t>
        <w:tab/>
        <w:t xml:space="preserve"> operational</w:t>
        <w:tab/>
        <w:t xml:space="preserve"> performance.</w:t>
        <w:tab/>
        <w:t xml:space="preserve"> In</w:t>
        <w:tab/>
        <w:t xml:space="preserve"> addition,</w:t>
        <w:tab/>
        <w:t xml:space="preserve"> Adjusted</w:t>
        <w:tab/>
        <w:t xml:space="preserve"> EBITDA</w:t>
        <w:tab/>
        <w:t xml:space="preserve"> and</w:t>
        <w:tab/>
        <w:t xml:space="preserve"> Adjusted</w:t>
        <w:tab/>
        <w:t xml:space="preserve"> EBITDA</w:t>
        <w:tab/>
        <w:t>margin</w:t>
        <w:tab/>
        <w:t xml:space="preserve"> have</w:t>
        <w:tab/>
        <w:t xml:space="preserve"> been</w:t>
        <w:tab/>
        <w:t>metrics</w:t>
        <w:tab/>
        <w:t xml:space="preserve"> utilized</w:t>
        <w:tab/>
        <w:t xml:space="preserve"> in</w:t>
        <w:tab/>
        <w:t xml:space="preserve"> connection</w:t>
        <w:tab/>
        <w:t xml:space="preserve"> with</w:t>
        <w:tab/>
        <w:t xml:space="preserve"> the</w:t>
        <w:tab/>
        <w:t xml:space="preserve"> Company’s</w:t>
        <w:tab/>
        <w:t xml:space="preserve"> short-term</w:t>
        <w:tab/>
        <w:t xml:space="preserve"> annual</w:t>
        <w:tab/>
        <w:t xml:space="preserve"> cash</w:t>
        <w:tab/>
        <w:t xml:space="preserve"> incentive</w:t>
        <w:tab/>
        <w:t>program</w:t>
        <w:tab/>
        <w:t>for</w:t>
        <w:tab/>
        <w:t>executive</w:t>
        <w:tab/>
        <w:t>management. The</w:t>
        <w:tab/>
        <w:t>Company</w:t>
        <w:tab/>
        <w:t>believes</w:t>
        <w:tab/>
        <w:t>that</w:t>
        <w:tab/>
        <w:t>the</w:t>
        <w:tab/>
        <w:t>disclosure</w:t>
        <w:tab/>
        <w:t>of</w:t>
        <w:tab/>
        <w:t>these</w:t>
        <w:tab/>
        <w:t>non-GAAP</w:t>
        <w:tab/>
        <w:t>financial</w:t>
        <w:tab/>
        <w:t>measures</w:t>
        <w:tab/>
        <w:t>provides</w:t>
        <w:tab/>
        <w:t>investors</w:t>
        <w:tab/>
        <w:t>with</w:t>
        <w:tab/>
        <w:t>useful</w:t>
        <w:tab/>
        <w:t>information</w:t>
        <w:tab/>
        <w:t>in</w:t>
        <w:tab/>
        <w:t>connection</w:t>
        <w:tab/>
        <w:t>with</w:t>
        <w:tab/>
        <w:t>assessing</w:t>
        <w:tab/>
        <w:t>the</w:t>
        <w:tab/>
        <w:t>Company's</w:t>
        <w:tab/>
        <w:t xml:space="preserve"> financial</w:t>
        <w:tab/>
        <w:t>results</w:t>
        <w:tab/>
        <w:t>as</w:t>
        <w:tab/>
        <w:t>described</w:t>
        <w:tab/>
        <w:t>above.</w:t>
        <w:tab/>
        <w:t>In</w:t>
        <w:tab/>
        <w:t>addition,</w:t>
        <w:tab/>
        <w:t>these</w:t>
        <w:tab/>
        <w:t>non-GAAP</w:t>
        <w:tab/>
        <w:t>financial</w:t>
        <w:tab/>
        <w:t>measures</w:t>
        <w:tab/>
        <w:t>are</w:t>
        <w:tab/>
        <w:t>utilized</w:t>
        <w:tab/>
        <w:t>by</w:t>
        <w:tab/>
        <w:t>management</w:t>
        <w:tab/>
        <w:t>to</w:t>
        <w:tab/>
        <w:t>assess</w:t>
        <w:tab/>
        <w:t>the</w:t>
        <w:tab/>
        <w:t>Company's</w:t>
        <w:tab/>
        <w:t>financial</w:t>
        <w:tab/>
        <w:t>results,</w:t>
        <w:tab/>
        <w:t>evaluate</w:t>
        <w:tab/>
        <w:t>the</w:t>
        <w:tab/>
        <w:t xml:space="preserve"> Company's</w:t>
        <w:tab/>
        <w:t>business,</w:t>
        <w:tab/>
        <w:t>manage</w:t>
        <w:tab/>
        <w:t>budgets,</w:t>
        <w:tab/>
        <w:t>allocate</w:t>
        <w:tab/>
        <w:t>resources,</w:t>
        <w:tab/>
        <w:t>and</w:t>
        <w:tab/>
        <w:t>make</w:t>
        <w:tab/>
        <w:t>operational</w:t>
        <w:tab/>
        <w:t>decisions.</w:t>
        <w:tab/>
        <w:t>The</w:t>
        <w:tab/>
        <w:t>Company</w:t>
        <w:tab/>
        <w:t>believes</w:t>
        <w:tab/>
        <w:t>that</w:t>
        <w:tab/>
        <w:t>disclosure</w:t>
        <w:tab/>
        <w:t>of</w:t>
        <w:tab/>
        <w:t>these</w:t>
        <w:tab/>
        <w:t>non-GAAP</w:t>
        <w:tab/>
        <w:t>financial</w:t>
        <w:tab/>
        <w:t>measures</w:t>
        <w:tab/>
        <w:t xml:space="preserve"> provides</w:t>
        <w:tab/>
        <w:t>investors</w:t>
        <w:tab/>
        <w:t>with</w:t>
        <w:tab/>
        <w:t>additional</w:t>
        <w:tab/>
        <w:t>information</w:t>
        <w:tab/>
        <w:t>to</w:t>
        <w:tab/>
        <w:t>help</w:t>
        <w:tab/>
        <w:t>them</w:t>
        <w:tab/>
        <w:t>better</w:t>
        <w:tab/>
        <w:t>understand</w:t>
        <w:tab/>
        <w:t>our</w:t>
        <w:tab/>
        <w:t>financial</w:t>
        <w:tab/>
        <w:t>results</w:t>
        <w:tab/>
        <w:t>just</w:t>
        <w:tab/>
        <w:t>as</w:t>
        <w:tab/>
        <w:t>management</w:t>
        <w:tab/>
        <w:t>utilizes</w:t>
        <w:tab/>
        <w:t>these</w:t>
        <w:tab/>
        <w:t>non-GAAP</w:t>
        <w:tab/>
        <w:t>financial</w:t>
        <w:tab/>
        <w:t>measures</w:t>
        <w:tab/>
        <w:t>as</w:t>
        <w:tab/>
        <w:t xml:space="preserve"> described</w:t>
        <w:tab/>
        <w:t>above.</w:t>
        <w:tab/>
        <w:t>Although</w:t>
        <w:tab/>
        <w:t>these</w:t>
        <w:tab/>
        <w:t>non-GAAP</w:t>
        <w:tab/>
        <w:t>financial</w:t>
        <w:tab/>
        <w:t>measures</w:t>
        <w:tab/>
        <w:t>assist</w:t>
        <w:tab/>
        <w:t>in</w:t>
        <w:tab/>
        <w:t>measuring</w:t>
        <w:tab/>
        <w:t>the</w:t>
        <w:tab/>
        <w:t>Company's</w:t>
        <w:tab/>
        <w:t>financial</w:t>
        <w:tab/>
        <w:t>results</w:t>
        <w:tab/>
        <w:t>and</w:t>
        <w:tab/>
        <w:t>assessing</w:t>
        <w:tab/>
        <w:t>its</w:t>
        <w:tab/>
        <w:t>financial</w:t>
        <w:tab/>
        <w:t>performance,</w:t>
        <w:tab/>
        <w:t>they</w:t>
        <w:tab/>
        <w:t>are</w:t>
        <w:tab/>
        <w:t>not</w:t>
        <w:tab/>
        <w:t xml:space="preserve"> necessarily</w:t>
        <w:tab/>
        <w:t>comparable</w:t>
        <w:tab/>
        <w:t>to</w:t>
        <w:tab/>
        <w:t>similarly</w:t>
        <w:tab/>
        <w:t>titled</w:t>
        <w:tab/>
        <w:t>measures</w:t>
        <w:tab/>
        <w:t>of</w:t>
        <w:tab/>
        <w:t>other</w:t>
        <w:tab/>
        <w:t>companies</w:t>
        <w:tab/>
        <w:t>due</w:t>
        <w:tab/>
        <w:t>to</w:t>
        <w:tab/>
        <w:t>potential</w:t>
        <w:tab/>
        <w:t>inconsistencies</w:t>
        <w:tab/>
        <w:t>in</w:t>
        <w:tab/>
        <w:t>the</w:t>
        <w:tab/>
        <w:t>method</w:t>
        <w:tab/>
        <w:t>of</w:t>
        <w:tab/>
        <w:t>calculation.</w:t>
        <w:tab/>
        <w:t>This</w:t>
        <w:tab/>
        <w:t>presentation</w:t>
        <w:tab/>
        <w:t>includes</w:t>
        <w:tab/>
        <w:t>reconciliations</w:t>
        <w:tab/>
        <w:t xml:space="preserve"> of</w:t>
        <w:tab/>
        <w:t>the</w:t>
        <w:tab/>
        <w:t>non-GAAP</w:t>
        <w:tab/>
        <w:t>financial</w:t>
        <w:tab/>
        <w:t>measures</w:t>
        <w:tab/>
        <w:t>disclosed</w:t>
        <w:tab/>
        <w:t>herein</w:t>
        <w:tab/>
        <w:t>as</w:t>
        <w:tab/>
        <w:t>described</w:t>
        <w:tab/>
        <w:t>above. ($</w:t>
        <w:tab/>
        <w:t>in</w:t>
        <w:tab/>
        <w:t>thousands) Three</w:t>
        <w:tab/>
        <w:t>Months</w:t>
        <w:tab/>
        <w:t>Ended March</w:t>
        <w:tab/>
        <w:t>31,</w:t>
        <w:tab/>
        <w:t>2026 December</w:t>
        <w:tab/>
        <w:t>31,</w:t>
        <w:tab/>
        <w:t xml:space="preserve"> 2025 September</w:t>
        <w:tab/>
        <w:t>30,</w:t>
        <w:tab/>
        <w:t xml:space="preserve"> 2025 June</w:t>
        <w:tab/>
        <w:t>30,</w:t>
        <w:tab/>
        <w:t>2025 March</w:t>
        <w:tab/>
        <w:t>31,</w:t>
        <w:tab/>
        <w:t>2025 December</w:t>
        <w:tab/>
        <w:t>31,</w:t>
        <w:tab/>
        <w:t xml:space="preserve"> 2024 Income</w:t>
        <w:tab/>
        <w:t>(loss)</w:t>
        <w:tab/>
        <w:t>from</w:t>
        <w:tab/>
        <w:t>operations $</w:t>
        <w:tab/>
        <w:t xml:space="preserve"> 3,743</w:t>
        <w:tab/>
        <w:t xml:space="preserve"> $</w:t>
        <w:tab/>
        <w:t xml:space="preserve"> 1,609</w:t>
        <w:tab/>
        <w:t xml:space="preserve"> $</w:t>
        <w:tab/>
        <w:t xml:space="preserve"> 1,476</w:t>
        <w:tab/>
        <w:t xml:space="preserve"> $</w:t>
        <w:tab/>
        <w:t xml:space="preserve"> (4,813)</w:t>
        <w:tab/>
        <w:t xml:space="preserve"> $</w:t>
        <w:tab/>
        <w:t xml:space="preserve"> 5,061</w:t>
        <w:tab/>
        <w:t xml:space="preserve"> $</w:t>
        <w:tab/>
        <w:t xml:space="preserve"> 2,053</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5 Quarterly Performance from Continuing Operations 1. Recurring</w:t>
        <w:tab/>
        <w:t>cash</w:t>
        <w:tab/>
        <w:t>costs</w:t>
        <w:tab/>
        <w:t>of</w:t>
        <w:tab/>
        <w:t>services</w:t>
        <w:tab/>
        <w:t>represents</w:t>
        <w:tab/>
        <w:t>recurring</w:t>
        <w:tab/>
        <w:t>operating</w:t>
        <w:tab/>
        <w:t>costs</w:t>
        <w:tab/>
        <w:t>directly</w:t>
        <w:tab/>
        <w:t>related</w:t>
        <w:tab/>
        <w:t>to</w:t>
        <w:tab/>
        <w:t>our</w:t>
        <w:tab/>
        <w:t>revenue</w:t>
        <w:tab/>
        <w:t>generating</w:t>
        <w:tab/>
        <w:t>activities</w:t>
        <w:tab/>
        <w:t>except</w:t>
        <w:tab/>
        <w:t>the</w:t>
        <w:tab/>
        <w:t>stock</w:t>
        <w:tab/>
        <w:t>compensation</w:t>
        <w:tab/>
        <w:t>portion</w:t>
        <w:tab/>
        <w:t>of</w:t>
        <w:tab/>
        <w:t>personnel</w:t>
        <w:tab/>
        <w:t>costs</w:t>
        <w:tab/>
        <w:t>included</w:t>
        <w:tab/>
        <w:t xml:space="preserve"> within</w:t>
        <w:tab/>
        <w:t>costs</w:t>
        <w:tab/>
        <w:t>of</w:t>
        <w:tab/>
        <w:t>services. 2. Recurring</w:t>
        <w:tab/>
        <w:t>cash</w:t>
        <w:tab/>
        <w:t>SG&amp;A</w:t>
        <w:tab/>
        <w:t>expenses</w:t>
        <w:tab/>
        <w:t>represents</w:t>
        <w:tab/>
        <w:t>recurring</w:t>
        <w:tab/>
        <w:t>operating</w:t>
        <w:tab/>
        <w:t>costs</w:t>
        <w:tab/>
        <w:t>such</w:t>
        <w:tab/>
        <w:t>as</w:t>
        <w:tab/>
        <w:t>certain</w:t>
        <w:tab/>
        <w:t>people</w:t>
        <w:tab/>
        <w:t>costs</w:t>
        <w:tab/>
        <w:t>(for</w:t>
        <w:tab/>
        <w:t>individuals</w:t>
        <w:tab/>
        <w:t>not</w:t>
        <w:tab/>
        <w:t>within</w:t>
        <w:tab/>
        <w:t>other</w:t>
        <w:tab/>
        <w:t>cost</w:t>
        <w:tab/>
        <w:t>of</w:t>
        <w:tab/>
        <w:t>services),</w:t>
        <w:tab/>
        <w:t>technology,</w:t>
        <w:tab/>
        <w:t>facilities,</w:t>
        <w:tab/>
        <w:t>sales</w:t>
        <w:tab/>
        <w:t>and</w:t>
        <w:tab/>
        <w:t>marketing. 3. Adjusted</w:t>
        <w:tab/>
        <w:t>EBITDA</w:t>
        <w:tab/>
        <w:t>margin</w:t>
        <w:tab/>
        <w:t>represents</w:t>
        <w:tab/>
        <w:t>adjusted</w:t>
        <w:tab/>
        <w:t>EBITDA</w:t>
        <w:tab/>
        <w:t>as</w:t>
        <w:tab/>
        <w:t>a</w:t>
        <w:tab/>
        <w:t>percentage</w:t>
        <w:tab/>
        <w:t>of</w:t>
        <w:tab/>
        <w:t>revenue.</w:t>
        <w:tab/>
        <w:t>Adjusted</w:t>
        <w:tab/>
        <w:t>EBITDA</w:t>
        <w:tab/>
        <w:t>and</w:t>
        <w:tab/>
        <w:t>Adjusted</w:t>
        <w:tab/>
        <w:t>EBITDA</w:t>
        <w:tab/>
        <w:t>margin</w:t>
        <w:tab/>
        <w:t>are</w:t>
        <w:tab/>
        <w:t>non-GAAP</w:t>
        <w:tab/>
        <w:t>financial</w:t>
        <w:tab/>
        <w:t>measures.</w:t>
        <w:tab/>
        <w:t>For</w:t>
        <w:tab/>
        <w:t>additional</w:t>
        <w:tab/>
        <w:t>information</w:t>
        <w:tab/>
        <w:t xml:space="preserve"> regarding</w:t>
        <w:tab/>
        <w:t>these</w:t>
        <w:tab/>
        <w:t>non-GAAP</w:t>
        <w:tab/>
        <w:t>financial</w:t>
        <w:tab/>
        <w:t>measures,</w:t>
        <w:tab/>
        <w:t>including</w:t>
        <w:tab/>
        <w:t>reconciliations</w:t>
        <w:tab/>
        <w:t>of</w:t>
        <w:tab/>
        <w:t>Adjusted</w:t>
        <w:tab/>
        <w:t>EBITDA</w:t>
        <w:tab/>
        <w:t>to</w:t>
        <w:tab/>
        <w:t>the</w:t>
        <w:tab/>
        <w:t>most</w:t>
        <w:tab/>
        <w:t>comparable</w:t>
        <w:tab/>
        <w:t>GAAP</w:t>
        <w:tab/>
        <w:t>measure.</w:t>
        <w:tab/>
        <w:t>Refer</w:t>
        <w:tab/>
        <w:t>to</w:t>
        <w:tab/>
        <w:t>the</w:t>
        <w:tab/>
        <w:t>following</w:t>
        <w:tab/>
        <w:t>slides</w:t>
        <w:tab/>
        <w:t>for</w:t>
        <w:tab/>
        <w:t>the</w:t>
        <w:tab/>
        <w:t>reconciliations</w:t>
        <w:tab/>
        <w:t>of</w:t>
        <w:tab/>
        <w:t xml:space="preserve"> non-GAAP</w:t>
        <w:tab/>
        <w:t>financial</w:t>
        <w:tab/>
        <w:t>measures. ($</w:t>
        <w:tab/>
        <w:t>in</w:t>
        <w:tab/>
        <w:t>thousands) Three</w:t>
        <w:tab/>
        <w:t>Months</w:t>
        <w:tab/>
        <w:t>Ended March</w:t>
        <w:tab/>
        <w:t>31,</w:t>
        <w:tab/>
        <w:t>2026 December</w:t>
        <w:tab/>
        <w:t>31,</w:t>
        <w:tab/>
        <w:t xml:space="preserve"> 2025 September</w:t>
        <w:tab/>
        <w:t>30,</w:t>
        <w:tab/>
        <w:t xml:space="preserve"> 2025 June</w:t>
        <w:tab/>
        <w:t>30,</w:t>
        <w:tab/>
        <w:t>2025 March</w:t>
        <w:tab/>
        <w:t>31,</w:t>
        <w:tab/>
        <w:t>2025 December</w:t>
        <w:tab/>
        <w:t>31,</w:t>
        <w:tab/>
        <w:t xml:space="preserve"> 2024 Revenue</w:t>
        <w:tab/>
        <w:t>from</w:t>
        <w:tab/>
        <w:t>continuing</w:t>
        <w:tab/>
        <w:t>operations $</w:t>
        <w:tab/>
        <w:t xml:space="preserve"> 57,518</w:t>
        <w:tab/>
        <w:t xml:space="preserve"> $</w:t>
        <w:tab/>
        <w:t xml:space="preserve"> 52,671</w:t>
        <w:tab/>
        <w:t xml:space="preserve"> $</w:t>
        <w:tab/>
        <w:t xml:space="preserve"> 54,901</w:t>
        <w:tab/>
        <w:t xml:space="preserve"> $</w:t>
        <w:tab/>
        <w:t xml:space="preserve"> 51,901</w:t>
        <w:tab/>
        <w:t xml:space="preserve"> $</w:t>
        <w:tab/>
        <w:t xml:space="preserve"> 54,135</w:t>
        <w:tab/>
        <w:t xml:space="preserve"> $</w:t>
        <w:tab/>
        <w:t xml:space="preserve"> 52,221</w:t>
        <w:tab/>
        <w:t xml:space="preserve"> Recurring</w:t>
        <w:tab/>
        <w:t>cash</w:t>
        <w:tab/>
        <w:t>costs</w:t>
        <w:tab/>
        <w:t>of</w:t>
        <w:tab/>
        <w:t xml:space="preserve">services(1) </w:t>
        <w:tab/>
        <w:t xml:space="preserve"> 16,866</w:t>
        <w:tab/>
        <w:t xml:space="preserve"> </w:t>
        <w:tab/>
        <w:t xml:space="preserve"> 17,345</w:t>
        <w:tab/>
        <w:t xml:space="preserve"> </w:t>
        <w:tab/>
        <w:t xml:space="preserve"> 17,483</w:t>
        <w:tab/>
        <w:t xml:space="preserve"> </w:t>
        <w:tab/>
        <w:t xml:space="preserve"> 16,547</w:t>
        <w:tab/>
        <w:t xml:space="preserve"> </w:t>
        <w:tab/>
        <w:t xml:space="preserve"> 16,403</w:t>
        <w:tab/>
        <w:t xml:space="preserve"> </w:t>
        <w:tab/>
        <w:t xml:space="preserve"> 15,414</w:t>
        <w:tab/>
        <w:t xml:space="preserve"> Recurring</w:t>
        <w:tab/>
        <w:t>cash</w:t>
        <w:tab/>
        <w:t>SG&amp;A</w:t>
        <w:tab/>
        <w:t xml:space="preserve">expenses(2) </w:t>
        <w:tab/>
        <w:t xml:space="preserve"> 18,702</w:t>
        <w:tab/>
        <w:t xml:space="preserve"> </w:t>
        <w:tab/>
        <w:t xml:space="preserve"> 16,875</w:t>
        <w:tab/>
        <w:t xml:space="preserve"> </w:t>
        <w:tab/>
        <w:t xml:space="preserve"> 18,811</w:t>
        <w:tab/>
        <w:t xml:space="preserve"> </w:t>
        <w:tab/>
        <w:t xml:space="preserve"> 18,117</w:t>
        <w:tab/>
        <w:t xml:space="preserve"> </w:t>
        <w:tab/>
        <w:t xml:space="preserve"> 17,399</w:t>
        <w:tab/>
        <w:t xml:space="preserve"> </w:t>
        <w:tab/>
        <w:t xml:space="preserve"> 17,261</w:t>
        <w:tab/>
        <w:t xml:space="preserve"> Corporate</w:t>
        <w:tab/>
        <w:t xml:space="preserve">expenses </w:t>
        <w:tab/>
        <w:t xml:space="preserve"> 5,361</w:t>
        <w:tab/>
        <w:t xml:space="preserve"> </w:t>
        <w:tab/>
        <w:t xml:space="preserve"> 4,836</w:t>
        <w:tab/>
        <w:t xml:space="preserve"> </w:t>
        <w:tab/>
        <w:t xml:space="preserve"> 4,208</w:t>
        <w:tab/>
        <w:t xml:space="preserve"> </w:t>
        <w:tab/>
        <w:t xml:space="preserve"> 4,513</w:t>
        <w:tab/>
        <w:t xml:space="preserve"> </w:t>
        <w:tab/>
        <w:t xml:space="preserve"> 4,492</w:t>
        <w:tab/>
        <w:t xml:space="preserve"> </w:t>
        <w:tab/>
        <w:t xml:space="preserve"> 4,975</w:t>
        <w:tab/>
        <w:t xml:space="preserve"> Adjusted</w:t>
        <w:tab/>
        <w:t>EBITDA</w:t>
        <w:tab/>
        <w:t>from</w:t>
        <w:tab/>
        <w:t>continuing</w:t>
        <w:tab/>
        <w:t>operations(3) $</w:t>
        <w:tab/>
        <w:t xml:space="preserve"> 16,589</w:t>
        <w:tab/>
        <w:t xml:space="preserve"> $</w:t>
        <w:tab/>
        <w:t xml:space="preserve"> 13,615</w:t>
        <w:tab/>
        <w:t xml:space="preserve"> $</w:t>
        <w:tab/>
        <w:t xml:space="preserve"> 14,399</w:t>
        <w:tab/>
        <w:t xml:space="preserve"> $</w:t>
        <w:tab/>
        <w:t xml:space="preserve"> 12,724</w:t>
        <w:tab/>
        <w:t xml:space="preserve"> $</w:t>
        <w:tab/>
        <w:t xml:space="preserve"> 15,841</w:t>
        <w:tab/>
        <w:t xml:space="preserve"> $</w:t>
        <w:tab/>
        <w:t xml:space="preserve"> 14,571</w:t>
        <w:tab/>
        <w:t xml:space="preserve"> Adjusted</w:t>
        <w:tab/>
        <w:t>EBITDA</w:t>
        <w:tab/>
        <w:t>margin</w:t>
        <w:tab/>
        <w:t>from</w:t>
        <w:tab/>
        <w:t>continuing</w:t>
        <w:tab/>
        <w:t xml:space="preserve">operations(3) </w:t>
        <w:tab/>
        <w:t>29</w:t>
        <w:tab/>
        <w:t xml:space="preserve">% </w:t>
        <w:tab/>
        <w:t>26</w:t>
        <w:tab/>
        <w:t xml:space="preserve">% </w:t>
        <w:tab/>
        <w:t>26</w:t>
        <w:tab/>
        <w:t xml:space="preserve">% </w:t>
        <w:tab/>
        <w:t>25</w:t>
        <w:tab/>
        <w:t xml:space="preserve">% </w:t>
        <w:tab/>
        <w:t>29</w:t>
        <w:tab/>
        <w:t xml:space="preserve">% </w:t>
        <w:tab/>
        <w:t>28</w:t>
        <w:tab/>
        <w:t>% Period</w:t>
        <w:tab/>
        <w:t>over</w:t>
        <w:tab/>
        <w:t>period</w:t>
        <w:tab/>
        <w:t>growth</w:t>
        <w:tab/>
        <w:t>rates Y/Y Revenue</w:t>
        <w:tab/>
        <w:t>from</w:t>
        <w:tab/>
        <w:t>continuing</w:t>
        <w:tab/>
        <w:t>operations 6% Recurring</w:t>
        <w:tab/>
        <w:t>cash</w:t>
        <w:tab/>
        <w:t>costs</w:t>
        <w:tab/>
        <w:t>of</w:t>
        <w:tab/>
        <w:t>services(1) 3% Recurring</w:t>
        <w:tab/>
        <w:t>cash</w:t>
        <w:tab/>
        <w:t>SG&amp;A</w:t>
        <w:tab/>
        <w:t>expenses(2) 7% Corporate</w:t>
        <w:tab/>
        <w:t>expenses 19% Adjusted</w:t>
        <w:tab/>
        <w:t>EBITDA</w:t>
        <w:tab/>
        <w:t>from</w:t>
        <w:tab/>
        <w:t>continuing</w:t>
        <w:tab/>
        <w:t xml:space="preserve">operations(3)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 descr=""/>
                    <pic:cNvPicPr>
                      <a:picLocks noChangeAspect="1" noChangeArrowheads="1"/>
                    </pic:cNvPicPr>
                  </pic:nvPicPr>
                  <pic:blipFill>
                    <a:blip r:embed="rId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6 Reconciliation of Non-GAAP Financial Measures(1) The</w:t>
        <w:tab/>
        <w:t>reconciliation</w:t>
        <w:tab/>
        <w:t>of</w:t>
        <w:tab/>
        <w:t>our</w:t>
        <w:tab/>
        <w:t>net</w:t>
        <w:tab/>
        <w:t>income</w:t>
        <w:tab/>
        <w:t>(loss)</w:t>
        <w:tab/>
        <w:t>from</w:t>
        <w:tab/>
        <w:t>continuing</w:t>
        <w:tab/>
        <w:t>operations</w:t>
        <w:tab/>
        <w:t>attributable</w:t>
        <w:tab/>
        <w:t>to</w:t>
        <w:tab/>
        <w:t>i3</w:t>
        <w:tab/>
        <w:t>Verticals,</w:t>
        <w:tab/>
        <w:t>Inc.</w:t>
        <w:tab/>
        <w:t>to</w:t>
        <w:tab/>
        <w:t>non-GAAP</w:t>
        <w:tab/>
        <w:t>adjusted</w:t>
        <w:tab/>
        <w:t>income</w:t>
        <w:tab/>
        <w:t>before</w:t>
        <w:tab/>
        <w:t>taxes</w:t>
        <w:tab/>
        <w:t xml:space="preserve"> from</w:t>
        <w:tab/>
        <w:t>continuing</w:t>
        <w:tab/>
        <w:t>operations,</w:t>
        <w:tab/>
        <w:t>non-GAAP</w:t>
        <w:tab/>
        <w:t>adjusted</w:t>
        <w:tab/>
        <w:t>net</w:t>
        <w:tab/>
        <w:t>income</w:t>
        <w:tab/>
        <w:t>from</w:t>
        <w:tab/>
        <w:t>continuing</w:t>
        <w:tab/>
        <w:t>operations</w:t>
        <w:tab/>
        <w:t>and</w:t>
        <w:tab/>
        <w:t>non-GAAP</w:t>
        <w:tab/>
        <w:t>adjusted</w:t>
        <w:tab/>
        <w:t>EBITDA</w:t>
        <w:tab/>
        <w:t>from</w:t>
        <w:tab/>
        <w:t>continuing</w:t>
        <w:tab/>
        <w:t>operations</w:t>
        <w:tab/>
        <w:t xml:space="preserve"> for</w:t>
        <w:tab/>
        <w:t>the</w:t>
        <w:tab/>
        <w:t>current</w:t>
        <w:tab/>
        <w:t>and</w:t>
        <w:tab/>
        <w:t>prior</w:t>
        <w:tab/>
        <w:t>year</w:t>
        <w:tab/>
        <w:t>quarters</w:t>
        <w:tab/>
        <w:t>are</w:t>
        <w:tab/>
        <w:t>as</w:t>
        <w:tab/>
        <w:t>follows: See</w:t>
        <w:tab/>
        <w:t>footnotes</w:t>
        <w:tab/>
        <w:t>on</w:t>
        <w:tab/>
        <w:t>the</w:t>
        <w:tab/>
        <w:t>next</w:t>
        <w:tab/>
        <w:t>slide. ($</w:t>
        <w:tab/>
        <w:t>in</w:t>
        <w:tab/>
        <w:t>thousands) Three</w:t>
        <w:tab/>
        <w:t>Months</w:t>
        <w:tab/>
        <w:t>Ended March</w:t>
        <w:tab/>
        <w:t>31,</w:t>
        <w:tab/>
        <w:t xml:space="preserve"> 2026 December</w:t>
        <w:tab/>
        <w:t>31,</w:t>
        <w:tab/>
        <w:t xml:space="preserve"> 2025 September</w:t>
        <w:tab/>
        <w:t>30,</w:t>
        <w:tab/>
        <w:t xml:space="preserve"> 2025 June</w:t>
        <w:tab/>
        <w:t>30,</w:t>
        <w:tab/>
        <w:t>2025 March</w:t>
        <w:tab/>
        <w:t>31,</w:t>
        <w:tab/>
        <w:t xml:space="preserve"> 2025 December</w:t>
        <w:tab/>
        <w:t>31,</w:t>
        <w:tab/>
        <w:t xml:space="preserve"> 2024 Net</w:t>
        <w:tab/>
        <w:t>income</w:t>
        <w:tab/>
        <w:t>(loss)</w:t>
        <w:tab/>
        <w:t>from</w:t>
        <w:tab/>
        <w:t>continuing</w:t>
        <w:tab/>
        <w:t>operations</w:t>
        <w:tab/>
        <w:t>attributable</w:t>
        <w:tab/>
        <w:t>to</w:t>
        <w:tab/>
        <w:t>i3</w:t>
        <w:tab/>
        <w:t>Verticals,</w:t>
        <w:tab/>
        <w:t>Inc. $</w:t>
        <w:tab/>
        <w:t xml:space="preserve"> 1,464</w:t>
        <w:tab/>
        <w:t xml:space="preserve"> $</w:t>
        <w:tab/>
        <w:t xml:space="preserve"> 576</w:t>
        <w:tab/>
        <w:t xml:space="preserve"> $</w:t>
        <w:tab/>
        <w:t xml:space="preserve"> 1,163</w:t>
        <w:tab/>
        <w:t xml:space="preserve"> $</w:t>
        <w:tab/>
        <w:t xml:space="preserve"> (410)</w:t>
        <w:tab/>
        <w:t xml:space="preserve"> $</w:t>
        <w:tab/>
        <w:t xml:space="preserve"> 1,019</w:t>
        <w:tab/>
        <w:t xml:space="preserve"> $</w:t>
        <w:tab/>
        <w:t xml:space="preserve"> 1,855</w:t>
        <w:tab/>
        <w:t xml:space="preserve"> Net</w:t>
        <w:tab/>
        <w:t>income</w:t>
        <w:tab/>
        <w:t>(loss)</w:t>
        <w:tab/>
        <w:t>from</w:t>
        <w:tab/>
        <w:t>continuing</w:t>
        <w:tab/>
        <w:t>operations</w:t>
        <w:tab/>
        <w:t>attributable</w:t>
        <w:tab/>
        <w:t>to</w:t>
        <w:tab/>
        <w:t>non-controlling</w:t>
        <w:tab/>
        <w:t xml:space="preserve">interests </w:t>
        <w:tab/>
        <w:t xml:space="preserve"> 730</w:t>
        <w:tab/>
        <w:t xml:space="preserve"> </w:t>
        <w:tab/>
        <w:t xml:space="preserve"> 509</w:t>
        <w:tab/>
        <w:t xml:space="preserve"> </w:t>
        <w:tab/>
        <w:t xml:space="preserve"> 338</w:t>
        <w:tab/>
        <w:t xml:space="preserve"> </w:t>
        <w:tab/>
        <w:t xml:space="preserve"> (586)</w:t>
        <w:tab/>
        <w:t xml:space="preserve"> </w:t>
        <w:tab/>
        <w:t xml:space="preserve"> 1,304</w:t>
        <w:tab/>
        <w:t xml:space="preserve"> </w:t>
        <w:tab/>
        <w:t xml:space="preserve"> 935</w:t>
        <w:tab/>
        <w:t xml:space="preserve"> Net</w:t>
        <w:tab/>
        <w:t>income</w:t>
        <w:tab/>
        <w:t>(loss)</w:t>
        <w:tab/>
        <w:t>from</w:t>
        <w:tab/>
        <w:t>continuing</w:t>
        <w:tab/>
        <w:t xml:space="preserve">operations </w:t>
        <w:tab/>
        <w:t xml:space="preserve"> 2,194</w:t>
        <w:tab/>
        <w:t xml:space="preserve"> </w:t>
        <w:tab/>
        <w:t xml:space="preserve"> 1,085</w:t>
        <w:tab/>
        <w:t xml:space="preserve"> </w:t>
        <w:tab/>
        <w:t xml:space="preserve"> 1,501</w:t>
        <w:tab/>
        <w:t xml:space="preserve"> </w:t>
        <w:tab/>
        <w:t xml:space="preserve"> (996)</w:t>
        <w:tab/>
        <w:t xml:space="preserve"> </w:t>
        <w:tab/>
        <w:t xml:space="preserve"> 2,323</w:t>
        <w:tab/>
        <w:t xml:space="preserve"> </w:t>
        <w:tab/>
        <w:t xml:space="preserve"> 2,790</w:t>
        <w:tab/>
        <w:t xml:space="preserve"> Non-GAAP</w:t>
        <w:tab/>
        <w:t>Adjustments: Provision</w:t>
        <w:tab/>
        <w:t>for</w:t>
        <w:tab/>
        <w:t>(benefit</w:t>
        <w:tab/>
        <w:t>from)</w:t>
        <w:tab/>
        <w:t>income</w:t>
        <w:tab/>
        <w:t xml:space="preserve">taxes </w:t>
        <w:tab/>
        <w:t xml:space="preserve"> 478</w:t>
        <w:tab/>
        <w:t xml:space="preserve"> </w:t>
        <w:tab/>
        <w:t xml:space="preserve"> 704</w:t>
        <w:tab/>
        <w:t xml:space="preserve"> </w:t>
        <w:tab/>
        <w:t xml:space="preserve"> 1,994</w:t>
        <w:tab/>
        <w:t xml:space="preserve"> </w:t>
        <w:tab/>
        <w:t xml:space="preserve"> (22)</w:t>
        <w:tab/>
        <w:t xml:space="preserve"> </w:t>
        <w:tab/>
        <w:t xml:space="preserve"> 2,885</w:t>
        <w:tab/>
        <w:t xml:space="preserve"> </w:t>
        <w:tab/>
        <w:t xml:space="preserve"> 409</w:t>
        <w:tab/>
        <w:t xml:space="preserve"> Non-cash</w:t>
        <w:tab/>
        <w:t>change</w:t>
        <w:tab/>
        <w:t>in</w:t>
        <w:tab/>
        <w:t>fair</w:t>
        <w:tab/>
        <w:t>value</w:t>
        <w:tab/>
        <w:t>of</w:t>
        <w:tab/>
        <w:t>contingent</w:t>
        <w:tab/>
        <w:t xml:space="preserve">consideration(2) </w:t>
        <w:tab/>
        <w:t xml:space="preserve"> (124)</w:t>
        <w:tab/>
        <w:t xml:space="preserve"> </w:t>
        <w:tab/>
        <w:t xml:space="preserve"> (374)</w:t>
        <w:tab/>
        <w:t xml:space="preserve"> </w:t>
        <w:tab/>
        <w:t xml:space="preserve"> (206)</w:t>
        <w:tab/>
        <w:t xml:space="preserve"> </w:t>
        <w:tab/>
        <w:t xml:space="preserve"> (26)</w:t>
        <w:tab/>
        <w:t xml:space="preserve"> </w:t>
        <w:tab/>
        <w:t xml:space="preserve"> (786)</w:t>
        <w:tab/>
        <w:t xml:space="preserve"> </w:t>
        <w:tab/>
        <w:t xml:space="preserve"> 1,252</w:t>
        <w:tab/>
        <w:t xml:space="preserve"> Equity-based</w:t>
        <w:tab/>
        <w:t xml:space="preserve">compensation(3) </w:t>
        <w:tab/>
        <w:t xml:space="preserve"> 4,619</w:t>
        <w:tab/>
        <w:t xml:space="preserve"> </w:t>
        <w:tab/>
        <w:t xml:space="preserve"> 5,178</w:t>
        <w:tab/>
        <w:t xml:space="preserve"> </w:t>
        <w:tab/>
        <w:t xml:space="preserve"> 3,202</w:t>
        <w:tab/>
        <w:t xml:space="preserve"> </w:t>
        <w:tab/>
        <w:t xml:space="preserve"> 4,879</w:t>
        <w:tab/>
        <w:t xml:space="preserve"> </w:t>
        <w:tab/>
        <w:t xml:space="preserve"> 3,545</w:t>
        <w:tab/>
        <w:t xml:space="preserve"> </w:t>
        <w:tab/>
        <w:t xml:space="preserve"> 3,606</w:t>
        <w:tab/>
        <w:t xml:space="preserve"> M&amp;A-related</w:t>
        <w:tab/>
        <w:t xml:space="preserve">activity(4) </w:t>
        <w:tab/>
        <w:t xml:space="preserve"> 126</w:t>
        <w:tab/>
        <w:t xml:space="preserve"> </w:t>
        <w:tab/>
        <w:t xml:space="preserve"> 21</w:t>
        <w:tab/>
        <w:t xml:space="preserve"> </w:t>
        <w:tab/>
        <w:t xml:space="preserve"> (145)</w:t>
        <w:tab/>
        <w:t xml:space="preserve"> </w:t>
        <w:tab/>
        <w:t xml:space="preserve"> 1,137</w:t>
        <w:tab/>
        <w:t xml:space="preserve"> </w:t>
        <w:tab/>
        <w:t xml:space="preserve"> 107</w:t>
        <w:tab/>
        <w:t xml:space="preserve"> </w:t>
        <w:tab/>
        <w:t xml:space="preserve"> 52</w:t>
        <w:tab/>
        <w:t xml:space="preserve"> Acquisition</w:t>
        <w:tab/>
        <w:t>intangible</w:t>
        <w:tab/>
        <w:t xml:space="preserve">amortization(5) </w:t>
        <w:tab/>
        <w:t xml:space="preserve"> 4,970</w:t>
        <w:tab/>
        <w:t xml:space="preserve"> </w:t>
        <w:tab/>
        <w:t xml:space="preserve"> 4,396</w:t>
        <w:tab/>
        <w:t xml:space="preserve"> </w:t>
        <w:tab/>
        <w:t xml:space="preserve"> 4,473</w:t>
        <w:tab/>
        <w:t xml:space="preserve"> </w:t>
        <w:tab/>
        <w:t xml:space="preserve"> 4,444</w:t>
        <w:tab/>
        <w:t xml:space="preserve"> </w:t>
        <w:tab/>
        <w:t xml:space="preserve"> 4,227</w:t>
        <w:tab/>
        <w:t xml:space="preserve"> </w:t>
        <w:tab/>
        <w:t xml:space="preserve"> 4,226</w:t>
        <w:tab/>
        <w:t xml:space="preserve"> Non-cash</w:t>
        <w:tab/>
        <w:t xml:space="preserve">interest(6) </w:t>
        <w:tab/>
        <w:t xml:space="preserve"> 215</w:t>
        <w:tab/>
        <w:t xml:space="preserve"> </w:t>
        <w:tab/>
        <w:t xml:space="preserve"> 216</w:t>
        <w:tab/>
        <w:t xml:space="preserve"> </w:t>
        <w:tab/>
        <w:t xml:space="preserve"> 215</w:t>
        <w:tab/>
        <w:t xml:space="preserve"> </w:t>
        <w:tab/>
        <w:t xml:space="preserve"> 511</w:t>
        <w:tab/>
        <w:t xml:space="preserve"> </w:t>
        <w:tab/>
        <w:t xml:space="preserve"> 250</w:t>
        <w:tab/>
        <w:t xml:space="preserve"> </w:t>
        <w:tab/>
        <w:t xml:space="preserve"> 280</w:t>
        <w:tab/>
        <w:t xml:space="preserve"> Other</w:t>
        <w:tab/>
        <w:t xml:space="preserve">taxes(7) </w:t>
        <w:tab/>
        <w:t xml:space="preserve"> 463</w:t>
        <w:tab/>
        <w:t xml:space="preserve"> </w:t>
        <w:tab/>
        <w:t xml:space="preserve"> 151</w:t>
        <w:tab/>
        <w:t xml:space="preserve"> </w:t>
        <w:tab/>
        <w:t xml:space="preserve"> 1,573</w:t>
        <w:tab/>
        <w:t xml:space="preserve"> </w:t>
        <w:tab/>
        <w:t xml:space="preserve"> 322</w:t>
        <w:tab/>
        <w:t xml:space="preserve"> </w:t>
        <w:tab/>
        <w:t xml:space="preserve"> 455</w:t>
        <w:tab/>
        <w:t xml:space="preserve"> </w:t>
        <w:tab/>
        <w:t xml:space="preserve"> 252</w:t>
        <w:tab/>
        <w:t xml:space="preserve"> Other</w:t>
        <w:tab/>
        <w:t>income</w:t>
        <w:tab/>
        <w:t>related</w:t>
        <w:tab/>
        <w:t>to</w:t>
        <w:tab/>
        <w:t>the</w:t>
        <w:tab/>
        <w:t>adjustment</w:t>
        <w:tab/>
        <w:t>of</w:t>
        <w:tab/>
        <w:t>liabilities</w:t>
        <w:tab/>
        <w:t>under</w:t>
        <w:tab/>
        <w:t>tax</w:t>
        <w:tab/>
        <w:t>receivable</w:t>
        <w:tab/>
        <w:t xml:space="preserve">agreement(8) </w:t>
        <w:tab/>
        <w:t xml:space="preserve"> —</w:t>
        <w:tab/>
        <w:t xml:space="preserve"> </w:t>
        <w:tab/>
        <w:t xml:space="preserve"> —</w:t>
        <w:tab/>
        <w:t xml:space="preserve"> </w:t>
        <w:tab/>
        <w:t xml:space="preserve"> (471)</w:t>
        <w:tab/>
        <w:t xml:space="preserve"> </w:t>
        <w:tab/>
        <w:t xml:space="preserve"> —</w:t>
        <w:tab/>
        <w:t xml:space="preserve"> </w:t>
        <w:tab/>
        <w:t xml:space="preserve"> —</w:t>
        <w:tab/>
        <w:t xml:space="preserve"> </w:t>
        <w:tab/>
        <w:t xml:space="preserve"> —</w:t>
        <w:tab/>
        <w:t xml:space="preserve"> Loss</w:t>
        <w:tab/>
        <w:t>(gain)</w:t>
        <w:tab/>
        <w:t>on</w:t>
        <w:tab/>
        <w:t>disposal</w:t>
        <w:tab/>
        <w:t>of</w:t>
        <w:tab/>
        <w:t>property</w:t>
        <w:tab/>
        <w:t>and</w:t>
        <w:tab/>
        <w:t xml:space="preserve">equipment(9) </w:t>
        <w:tab/>
        <w:t xml:space="preserve"> —</w:t>
        <w:tab/>
        <w:t xml:space="preserve"> </w:t>
        <w:tab/>
        <w:t xml:space="preserve"> 71</w:t>
        <w:tab/>
        <w:t xml:space="preserve"> </w:t>
        <w:tab/>
        <w:t xml:space="preserve"> —</w:t>
        <w:tab/>
        <w:t xml:space="preserve"> </w:t>
        <w:tab/>
        <w:t xml:space="preserve"> —</w:t>
        <w:tab/>
        <w:t xml:space="preserve"> </w:t>
        <w:tab/>
        <w:t xml:space="preserve"> —</w:t>
        <w:tab/>
        <w:t xml:space="preserve"> </w:t>
        <w:tab/>
        <w:t xml:space="preserve"> (585)</w:t>
        <w:tab/>
        <w:t xml:space="preserve"> Non-GAAP</w:t>
        <w:tab/>
        <w:t>adjusted</w:t>
        <w:tab/>
        <w:t>income</w:t>
        <w:tab/>
        <w:t>before</w:t>
        <w:tab/>
        <w:t>taxes</w:t>
        <w:tab/>
        <w:t>from</w:t>
        <w:tab/>
        <w:t>continuing</w:t>
        <w:tab/>
        <w:t xml:space="preserve">operations(10) </w:t>
        <w:tab/>
        <w:t xml:space="preserve"> 12,941</w:t>
        <w:tab/>
        <w:t xml:space="preserve"> </w:t>
        <w:tab/>
        <w:t xml:space="preserve"> 11,448</w:t>
        <w:tab/>
        <w:t xml:space="preserve"> </w:t>
        <w:tab/>
        <w:t xml:space="preserve"> 12,136</w:t>
        <w:tab/>
        <w:t xml:space="preserve"> </w:t>
        <w:tab/>
        <w:t xml:space="preserve"> 10,249</w:t>
        <w:tab/>
        <w:t xml:space="preserve"> </w:t>
        <w:tab/>
        <w:t xml:space="preserve"> 13,006</w:t>
        <w:tab/>
        <w:t xml:space="preserve"> </w:t>
        <w:tab/>
        <w:t xml:space="preserve"> 12,282</w:t>
        <w:tab/>
        <w:t xml:space="preserve"> Estimated</w:t>
        <w:tab/>
        <w:t>taxes</w:t>
        <w:tab/>
        <w:t>at</w:t>
        <w:tab/>
        <w:t xml:space="preserve">25%(11) </w:t>
        <w:tab/>
        <w:t xml:space="preserve"> (3,235)</w:t>
        <w:tab/>
        <w:t xml:space="preserve"> </w:t>
        <w:tab/>
        <w:t xml:space="preserve"> (2,862)</w:t>
        <w:tab/>
        <w:t xml:space="preserve"> </w:t>
        <w:tab/>
        <w:t xml:space="preserve"> (3,033)</w:t>
        <w:tab/>
        <w:t xml:space="preserve"> </w:t>
        <w:tab/>
        <w:t xml:space="preserve"> (2,562)</w:t>
        <w:tab/>
        <w:t xml:space="preserve"> </w:t>
        <w:tab/>
        <w:t xml:space="preserve"> (3,252)</w:t>
        <w:tab/>
        <w:t xml:space="preserve"> </w:t>
        <w:tab/>
        <w:t xml:space="preserve"> (3,071)</w:t>
        <w:tab/>
        <w:t xml:space="preserve"> Adjusted</w:t>
        <w:tab/>
        <w:t>net</w:t>
        <w:tab/>
        <w:t>income</w:t>
        <w:tab/>
        <w:t>from</w:t>
        <w:tab/>
        <w:t>continuing</w:t>
        <w:tab/>
        <w:t>operations(10) $</w:t>
        <w:tab/>
        <w:t xml:space="preserve"> 9,706</w:t>
        <w:tab/>
        <w:t xml:space="preserve"> $</w:t>
        <w:tab/>
        <w:t xml:space="preserve"> 8,586</w:t>
        <w:tab/>
        <w:t xml:space="preserve"> $</w:t>
        <w:tab/>
        <w:t xml:space="preserve"> 9,103</w:t>
        <w:tab/>
        <w:t xml:space="preserve"> $</w:t>
        <w:tab/>
        <w:t xml:space="preserve"> 7,687</w:t>
        <w:tab/>
        <w:t xml:space="preserve"> $</w:t>
        <w:tab/>
        <w:t xml:space="preserve"> 9,754</w:t>
        <w:tab/>
        <w:t xml:space="preserve"> $</w:t>
        <w:tab/>
        <w:t xml:space="preserve"> 9,211</w:t>
        <w:tab/>
        <w:t xml:space="preserve"> Plus: Cash</w:t>
        <w:tab/>
        <w:t>interest</w:t>
        <w:tab/>
        <w:t>expense</w:t>
        <w:tab/>
        <w:t>(income),</w:t>
        <w:tab/>
        <w:t xml:space="preserve">net(12) </w:t>
        <w:tab/>
        <w:t xml:space="preserve"> 915</w:t>
        <w:tab/>
        <w:t xml:space="preserve"> </w:t>
        <w:tab/>
        <w:t xml:space="preserve"> (302)</w:t>
        <w:tab/>
        <w:t xml:space="preserve"> </w:t>
        <w:tab/>
        <w:t xml:space="preserve"> (316)</w:t>
        <w:tab/>
        <w:t xml:space="preserve"> </w:t>
        <w:tab/>
        <w:t xml:space="preserve"> (70)</w:t>
        <w:tab/>
        <w:t xml:space="preserve"> </w:t>
        <w:tab/>
        <w:t xml:space="preserve"> 64</w:t>
        <w:tab/>
        <w:t xml:space="preserve"> </w:t>
        <w:tab/>
        <w:t xml:space="preserve"> (346)</w:t>
        <w:tab/>
        <w:t xml:space="preserve"> Estimated</w:t>
        <w:tab/>
        <w:t>taxes</w:t>
        <w:tab/>
        <w:t>at</w:t>
        <w:tab/>
        <w:t xml:space="preserve">25%(11) </w:t>
        <w:tab/>
        <w:t xml:space="preserve"> 3,235</w:t>
        <w:tab/>
        <w:t xml:space="preserve"> </w:t>
        <w:tab/>
        <w:t xml:space="preserve"> 2,862</w:t>
        <w:tab/>
        <w:t xml:space="preserve"> </w:t>
        <w:tab/>
        <w:t xml:space="preserve"> 3,033</w:t>
        <w:tab/>
        <w:t xml:space="preserve"> </w:t>
        <w:tab/>
        <w:t xml:space="preserve"> 2,562</w:t>
        <w:tab/>
        <w:t xml:space="preserve"> </w:t>
        <w:tab/>
        <w:t xml:space="preserve"> 3,252</w:t>
        <w:tab/>
        <w:t xml:space="preserve"> </w:t>
        <w:tab/>
        <w:t xml:space="preserve"> 3,071</w:t>
        <w:tab/>
        <w:t xml:space="preserve"> Depreciation</w:t>
        <w:tab/>
        <w:t>and</w:t>
        <w:tab/>
        <w:t>internally</w:t>
        <w:tab/>
        <w:t>developed</w:t>
        <w:tab/>
        <w:t>software</w:t>
        <w:tab/>
        <w:t xml:space="preserve">amortization(13) </w:t>
        <w:tab/>
        <w:t xml:space="preserve"> 2,733</w:t>
        <w:tab/>
        <w:t xml:space="preserve"> </w:t>
        <w:tab/>
        <w:t xml:space="preserve"> 2,469</w:t>
        <w:tab/>
        <w:t xml:space="preserve"> </w:t>
        <w:tab/>
        <w:t xml:space="preserve"> 2,579</w:t>
        <w:tab/>
        <w:t xml:space="preserve"> </w:t>
        <w:tab/>
        <w:t xml:space="preserve"> 2,545</w:t>
        <w:tab/>
        <w:t xml:space="preserve"> </w:t>
        <w:tab/>
        <w:t xml:space="preserve"> 2,771</w:t>
        <w:tab/>
        <w:t xml:space="preserve"> </w:t>
        <w:tab/>
        <w:t xml:space="preserve"> 2,635</w:t>
        <w:tab/>
        <w:t xml:space="preserve"> Adjusted</w:t>
        <w:tab/>
        <w:t>EBITDA</w:t>
        <w:tab/>
        <w:t>from</w:t>
        <w:tab/>
        <w:t>continuing</w:t>
        <w:tab/>
        <w:t>operations(10) $</w:t>
        <w:tab/>
        <w:t xml:space="preserve"> 16,589</w:t>
        <w:tab/>
        <w:t xml:space="preserve"> $</w:t>
        <w:tab/>
        <w:t xml:space="preserve"> 13,615</w:t>
        <w:tab/>
        <w:t xml:space="preserve"> $</w:t>
        <w:tab/>
        <w:t xml:space="preserve"> 14,399</w:t>
        <w:tab/>
        <w:t xml:space="preserve"> $</w:t>
        <w:tab/>
        <w:t xml:space="preserve"> 12,724</w:t>
        <w:tab/>
        <w:t xml:space="preserve"> $</w:t>
        <w:tab/>
        <w:t xml:space="preserve"> 15,841</w:t>
        <w:tab/>
        <w:t xml:space="preserve"> $</w:t>
        <w:tab/>
        <w:t xml:space="preserve"> 14,571</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7 1.) As</w:t>
        <w:tab/>
        <w:t>a</w:t>
        <w:tab/>
        <w:t>result</w:t>
        <w:tab/>
        <w:t>of</w:t>
        <w:tab/>
        <w:t>the</w:t>
        <w:tab/>
        <w:t>sale</w:t>
        <w:tab/>
        <w:t>of</w:t>
        <w:tab/>
        <w:t>our</w:t>
        <w:tab/>
        <w:t>merchant</w:t>
        <w:tab/>
        <w:t>services</w:t>
        <w:tab/>
        <w:t>business</w:t>
        <w:tab/>
        <w:t>(the</w:t>
        <w:tab/>
        <w:t>"Merchant</w:t>
        <w:tab/>
        <w:t>Services</w:t>
        <w:tab/>
        <w:t>Business"),</w:t>
        <w:tab/>
        <w:t>which</w:t>
        <w:tab/>
        <w:t>was</w:t>
        <w:tab/>
        <w:t>completed</w:t>
        <w:tab/>
        <w:t>on</w:t>
        <w:tab/>
        <w:t>September</w:t>
        <w:tab/>
        <w:t>20,</w:t>
        <w:tab/>
        <w:t>2024,</w:t>
        <w:tab/>
        <w:t>and</w:t>
        <w:tab/>
        <w:t>the</w:t>
        <w:tab/>
        <w:t>sale</w:t>
        <w:tab/>
        <w:t>of</w:t>
        <w:tab/>
        <w:t>our</w:t>
        <w:tab/>
        <w:t>Healthcare</w:t>
        <w:tab/>
        <w:t xml:space="preserve"> revenue</w:t>
        <w:tab/>
        <w:t>cycle</w:t>
        <w:tab/>
        <w:t>management</w:t>
        <w:tab/>
        <w:t>business</w:t>
        <w:tab/>
        <w:t>(the</w:t>
        <w:tab/>
        <w:t>"Healthcare</w:t>
        <w:tab/>
        <w:t>RCM</w:t>
        <w:tab/>
        <w:t>Business"),</w:t>
        <w:tab/>
        <w:t>which</w:t>
        <w:tab/>
        <w:t>was</w:t>
        <w:tab/>
        <w:t>completed</w:t>
        <w:tab/>
        <w:t>on</w:t>
        <w:tab/>
        <w:t>May</w:t>
        <w:tab/>
        <w:t>5,</w:t>
        <w:tab/>
        <w:t>2025,</w:t>
        <w:tab/>
        <w:t>the</w:t>
        <w:tab/>
        <w:t>historical</w:t>
        <w:tab/>
        <w:t>results</w:t>
        <w:tab/>
        <w:t>of</w:t>
        <w:tab/>
        <w:t>the</w:t>
        <w:tab/>
        <w:t>Merchant</w:t>
        <w:tab/>
        <w:t>Services</w:t>
        <w:tab/>
        <w:t>Business</w:t>
        <w:tab/>
        <w:t>and</w:t>
        <w:tab/>
        <w:t>the</w:t>
        <w:tab/>
        <w:t xml:space="preserve"> Healthcare</w:t>
        <w:tab/>
        <w:t>RCM</w:t>
        <w:tab/>
        <w:t>Business</w:t>
        <w:tab/>
        <w:t>have</w:t>
        <w:tab/>
        <w:t>been</w:t>
        <w:tab/>
        <w:t>reflected</w:t>
        <w:tab/>
        <w:t>in</w:t>
        <w:tab/>
        <w:t>discontinued</w:t>
        <w:tab/>
        <w:t>operations</w:t>
        <w:tab/>
        <w:t>in</w:t>
        <w:tab/>
        <w:t>the</w:t>
        <w:tab/>
        <w:t>consolidated</w:t>
        <w:tab/>
        <w:t>statement</w:t>
        <w:tab/>
        <w:t>of</w:t>
        <w:tab/>
        <w:t>operations</w:t>
        <w:tab/>
        <w:t>included</w:t>
        <w:tab/>
        <w:t>in</w:t>
        <w:tab/>
        <w:t>this</w:t>
        <w:tab/>
        <w:t>supplemental</w:t>
        <w:tab/>
        <w:t>information,</w:t>
        <w:tab/>
        <w:t>and</w:t>
        <w:tab/>
        <w:t>continuing</w:t>
        <w:tab/>
        <w:t xml:space="preserve"> operations</w:t>
        <w:tab/>
        <w:t>reflect</w:t>
        <w:tab/>
        <w:t>our</w:t>
        <w:tab/>
        <w:t>remaining</w:t>
        <w:tab/>
        <w:t>operations</w:t>
        <w:tab/>
        <w:t>after</w:t>
        <w:tab/>
        <w:t>giving</w:t>
        <w:tab/>
        <w:t>effect</w:t>
        <w:tab/>
        <w:t>to</w:t>
        <w:tab/>
        <w:t>such</w:t>
        <w:tab/>
        <w:t>classifications.</w:t>
        <w:tab/>
        <w:t>Prior</w:t>
        <w:tab/>
        <w:t>period</w:t>
        <w:tab/>
        <w:t>results</w:t>
        <w:tab/>
        <w:t>have</w:t>
        <w:tab/>
        <w:t>been</w:t>
        <w:tab/>
        <w:t>recast</w:t>
        <w:tab/>
        <w:t>to</w:t>
        <w:tab/>
        <w:t>reflect</w:t>
        <w:tab/>
        <w:t>this</w:t>
        <w:tab/>
        <w:t>presentation. 2.) Non-cash</w:t>
        <w:tab/>
        <w:t>change</w:t>
        <w:tab/>
        <w:t>in</w:t>
        <w:tab/>
        <w:t>fair</w:t>
        <w:tab/>
        <w:t>value</w:t>
        <w:tab/>
        <w:t>of</w:t>
        <w:tab/>
        <w:t>contingent</w:t>
        <w:tab/>
        <w:t>consideration</w:t>
        <w:tab/>
        <w:t>reflects</w:t>
        <w:tab/>
        <w:t>the</w:t>
        <w:tab/>
        <w:t>changes</w:t>
        <w:tab/>
        <w:t>in</w:t>
        <w:tab/>
        <w:t>management’s</w:t>
        <w:tab/>
        <w:t>estimates</w:t>
        <w:tab/>
        <w:t>of</w:t>
        <w:tab/>
        <w:t>future</w:t>
        <w:tab/>
        <w:t>cash</w:t>
        <w:tab/>
        <w:t>consideration</w:t>
        <w:tab/>
        <w:t>to</w:t>
        <w:tab/>
        <w:t>be</w:t>
        <w:tab/>
        <w:t>paid</w:t>
        <w:tab/>
        <w:t>in</w:t>
        <w:tab/>
        <w:t>connection</w:t>
        <w:tab/>
        <w:t>with</w:t>
        <w:tab/>
        <w:t>prior</w:t>
        <w:tab/>
        <w:t xml:space="preserve"> acquisitions</w:t>
        <w:tab/>
        <w:t>from</w:t>
        <w:tab/>
        <w:t>the</w:t>
        <w:tab/>
        <w:t>amount</w:t>
        <w:tab/>
        <w:t>estimated</w:t>
        <w:tab/>
        <w:t>as</w:t>
        <w:tab/>
        <w:t>of</w:t>
        <w:tab/>
        <w:t>the</w:t>
        <w:tab/>
        <w:t>later</w:t>
        <w:tab/>
        <w:t>of</w:t>
        <w:tab/>
        <w:t>the</w:t>
        <w:tab/>
        <w:t>most</w:t>
        <w:tab/>
        <w:t>recent</w:t>
        <w:tab/>
        <w:t>balance</w:t>
        <w:tab/>
        <w:t>sheet</w:t>
        <w:tab/>
        <w:t>date</w:t>
        <w:tab/>
        <w:t>forming</w:t>
        <w:tab/>
        <w:t>the</w:t>
        <w:tab/>
        <w:t>beginning</w:t>
        <w:tab/>
        <w:t>of</w:t>
        <w:tab/>
        <w:t>the</w:t>
        <w:tab/>
        <w:t>income</w:t>
        <w:tab/>
        <w:t>statement</w:t>
        <w:tab/>
        <w:t>period</w:t>
        <w:tab/>
        <w:t>or</w:t>
        <w:tab/>
        <w:t>the</w:t>
        <w:tab/>
        <w:t>original</w:t>
        <w:tab/>
        <w:t>estimates</w:t>
        <w:tab/>
        <w:t xml:space="preserve"> made</w:t>
        <w:tab/>
        <w:t>at</w:t>
        <w:tab/>
        <w:t>the</w:t>
        <w:tab/>
        <w:t>closing</w:t>
        <w:tab/>
        <w:t>of</w:t>
        <w:tab/>
        <w:t>the</w:t>
        <w:tab/>
        <w:t>applicable</w:t>
        <w:tab/>
        <w:t>acquisition. 3.) Equity-based</w:t>
        <w:tab/>
        <w:t>compensation</w:t>
        <w:tab/>
        <w:t>expense</w:t>
        <w:tab/>
        <w:t>related</w:t>
        <w:tab/>
        <w:t>to</w:t>
        <w:tab/>
        <w:t>stock</w:t>
        <w:tab/>
        <w:t>options</w:t>
        <w:tab/>
        <w:t>and</w:t>
        <w:tab/>
        <w:t>restricted</w:t>
        <w:tab/>
        <w:t>stock</w:t>
        <w:tab/>
        <w:t>units</w:t>
        <w:tab/>
        <w:t>issued</w:t>
        <w:tab/>
        <w:t>under</w:t>
        <w:tab/>
        <w:t>the</w:t>
        <w:tab/>
        <w:t>Company's</w:t>
        <w:tab/>
        <w:t>2018</w:t>
        <w:tab/>
        <w:t>Equity</w:t>
        <w:tab/>
        <w:t>Incentive</w:t>
        <w:tab/>
        <w:t>Plan</w:t>
        <w:tab/>
        <w:t>and</w:t>
        <w:tab/>
        <w:t>2020</w:t>
        <w:tab/>
        <w:t>Acquisition</w:t>
        <w:tab/>
        <w:t>Equity</w:t>
        <w:tab/>
        <w:t xml:space="preserve"> Incentive</w:t>
        <w:tab/>
        <w:t>Plan. 4.) M&amp;A-related</w:t>
        <w:tab/>
        <w:t>activity</w:t>
        <w:tab/>
        <w:t>is</w:t>
        <w:tab/>
        <w:t>the</w:t>
        <w:tab/>
        <w:t>net</w:t>
        <w:tab/>
        <w:t>impact</w:t>
        <w:tab/>
        <w:t>of</w:t>
        <w:tab/>
        <w:t>professional</w:t>
        <w:tab/>
        <w:t>service</w:t>
        <w:tab/>
        <w:t>and</w:t>
        <w:tab/>
        <w:t>related</w:t>
        <w:tab/>
        <w:t>costs</w:t>
        <w:tab/>
        <w:t>directly</w:t>
        <w:tab/>
        <w:t>related</w:t>
        <w:tab/>
        <w:t>to</w:t>
        <w:tab/>
        <w:t>any</w:t>
        <w:tab/>
        <w:t>merger,</w:t>
        <w:tab/>
        <w:t>acquisition</w:t>
        <w:tab/>
        <w:t>and</w:t>
        <w:tab/>
        <w:t>disposition</w:t>
        <w:tab/>
        <w:t>activity</w:t>
        <w:tab/>
        <w:t>of</w:t>
        <w:tab/>
        <w:t>the</w:t>
        <w:tab/>
        <w:t>Company</w:t>
        <w:tab/>
        <w:t>("M&amp;A- related</w:t>
        <w:tab/>
        <w:t>expenses"),</w:t>
        <w:tab/>
        <w:t>which</w:t>
        <w:tab/>
        <w:t>are</w:t>
        <w:tab/>
        <w:t>recorded</w:t>
        <w:tab/>
        <w:t>in</w:t>
        <w:tab/>
        <w:t>selling,</w:t>
        <w:tab/>
        <w:t>general</w:t>
        <w:tab/>
        <w:t>and</w:t>
        <w:tab/>
        <w:t>administrative</w:t>
        <w:tab/>
        <w:t>in</w:t>
        <w:tab/>
        <w:t>the</w:t>
        <w:tab/>
        <w:t>condensed</w:t>
        <w:tab/>
        <w:t>consolidated</w:t>
        <w:tab/>
        <w:t>statements</w:t>
        <w:tab/>
        <w:t>of</w:t>
        <w:tab/>
        <w:t>operations,</w:t>
        <w:tab/>
        <w:t>and</w:t>
        <w:tab/>
        <w:t>revenue</w:t>
        <w:tab/>
        <w:t>earned</w:t>
        <w:tab/>
        <w:t>through</w:t>
        <w:tab/>
        <w:t>post-sale</w:t>
        <w:tab/>
        <w:t xml:space="preserve"> non-recurring</w:t>
        <w:tab/>
        <w:t>activities</w:t>
        <w:tab/>
        <w:t>with</w:t>
        <w:tab/>
        <w:t>divestitures</w:t>
        <w:tab/>
        <w:t>("M&amp;A-related</w:t>
        <w:tab/>
        <w:t>income"),</w:t>
        <w:tab/>
        <w:t>which</w:t>
        <w:tab/>
        <w:t>are</w:t>
        <w:tab/>
        <w:t>recorded</w:t>
        <w:tab/>
        <w:t>in</w:t>
        <w:tab/>
        <w:t>other</w:t>
        <w:tab/>
        <w:t>income</w:t>
        <w:tab/>
        <w:t>in</w:t>
        <w:tab/>
        <w:t>the</w:t>
        <w:tab/>
        <w:t>condensed</w:t>
        <w:tab/>
        <w:t>consolidated</w:t>
        <w:tab/>
        <w:t>statements</w:t>
        <w:tab/>
        <w:t>of</w:t>
        <w:tab/>
        <w:t>operations.</w:t>
        <w:tab/>
        <w:t>i3</w:t>
        <w:tab/>
        <w:t>Verticals</w:t>
        <w:tab/>
        <w:t xml:space="preserve"> believes</w:t>
        <w:tab/>
        <w:t>these</w:t>
        <w:tab/>
        <w:t>activities</w:t>
        <w:tab/>
        <w:t>are</w:t>
        <w:tab/>
        <w:t>not</w:t>
        <w:tab/>
        <w:t>reflective</w:t>
        <w:tab/>
        <w:t>of</w:t>
        <w:tab/>
        <w:t>the</w:t>
        <w:tab/>
        <w:t>underlying</w:t>
        <w:tab/>
        <w:t>operational</w:t>
        <w:tab/>
        <w:t>performance</w:t>
        <w:tab/>
        <w:t>of</w:t>
        <w:tab/>
        <w:t>the</w:t>
        <w:tab/>
        <w:t>Company.</w:t>
        <w:tab/>
        <w:t>M&amp;A-related</w:t>
        <w:tab/>
        <w:t>income</w:t>
        <w:tab/>
        <w:t>was</w:t>
        <w:tab/>
        <w:t>$60,</w:t>
        <w:tab/>
        <w:t>$166,</w:t>
        <w:tab/>
        <w:t>$1,448,</w:t>
        <w:tab/>
        <w:t>$4,237,</w:t>
        <w:tab/>
        <w:t>$461,</w:t>
        <w:tab/>
        <w:t>and</w:t>
        <w:tab/>
        <w:t>$495</w:t>
        <w:tab/>
        <w:t>for</w:t>
        <w:tab/>
        <w:t xml:space="preserve"> the</w:t>
        <w:tab/>
        <w:t>three</w:t>
        <w:tab/>
        <w:t>months</w:t>
        <w:tab/>
        <w:t>ending</w:t>
        <w:tab/>
        <w:t>March</w:t>
        <w:tab/>
        <w:t>31,</w:t>
        <w:tab/>
        <w:t>2026;</w:t>
        <w:tab/>
        <w:t>December</w:t>
        <w:tab/>
        <w:t>31,</w:t>
        <w:tab/>
        <w:t>2025;</w:t>
        <w:tab/>
        <w:t>September</w:t>
        <w:tab/>
        <w:t>30,</w:t>
        <w:tab/>
        <w:t>2025;</w:t>
        <w:tab/>
        <w:t>June</w:t>
        <w:tab/>
        <w:t>30,</w:t>
        <w:tab/>
        <w:t>2025;</w:t>
        <w:tab/>
        <w:t>and</w:t>
        <w:tab/>
        <w:t>March</w:t>
        <w:tab/>
        <w:t>31,</w:t>
        <w:tab/>
        <w:t>2025;</w:t>
        <w:tab/>
        <w:t>and</w:t>
        <w:tab/>
        <w:t>December</w:t>
        <w:tab/>
        <w:t>31,</w:t>
        <w:tab/>
        <w:t>2024,</w:t>
        <w:tab/>
        <w:t>respectively.</w:t>
        <w:tab/>
        <w:t>M&amp;A-related</w:t>
        <w:tab/>
        <w:t xml:space="preserve"> expenses</w:t>
        <w:tab/>
        <w:t>were</w:t>
        <w:tab/>
        <w:t>$186,</w:t>
        <w:tab/>
        <w:t>$187,</w:t>
        <w:tab/>
        <w:t>$1,303,</w:t>
        <w:tab/>
        <w:t>$5,373,</w:t>
        <w:tab/>
        <w:t>$570,</w:t>
        <w:tab/>
        <w:t>and</w:t>
        <w:tab/>
        <w:t>$546</w:t>
        <w:tab/>
        <w:t>for</w:t>
        <w:tab/>
        <w:t>the</w:t>
        <w:tab/>
        <w:t>three</w:t>
        <w:tab/>
        <w:t>months</w:t>
        <w:tab/>
        <w:t>ending</w:t>
        <w:tab/>
        <w:tab/>
        <w:t>March</w:t>
        <w:tab/>
        <w:t>31,</w:t>
        <w:tab/>
        <w:t>2026;</w:t>
        <w:tab/>
        <w:t>December</w:t>
        <w:tab/>
        <w:t>31,</w:t>
        <w:tab/>
        <w:t>2025;</w:t>
        <w:tab/>
        <w:t>September</w:t>
        <w:tab/>
        <w:t>30,</w:t>
        <w:tab/>
        <w:t>2025;</w:t>
        <w:tab/>
        <w:t>June</w:t>
        <w:tab/>
        <w:t>30,</w:t>
        <w:tab/>
        <w:t>2025;</w:t>
        <w:tab/>
        <w:t>and</w:t>
        <w:tab/>
        <w:t>March</w:t>
        <w:tab/>
        <w:t xml:space="preserve"> 31,</w:t>
        <w:tab/>
        <w:t>2025;</w:t>
        <w:tab/>
        <w:t>and</w:t>
        <w:tab/>
        <w:t>December</w:t>
        <w:tab/>
        <w:t>31,</w:t>
        <w:tab/>
        <w:t>2024,</w:t>
        <w:tab/>
        <w:t>respectively. 5.) Acquisition</w:t>
        <w:tab/>
        <w:t>intangible</w:t>
        <w:tab/>
        <w:t>amortization</w:t>
        <w:tab/>
        <w:t>reflects</w:t>
        <w:tab/>
        <w:t>amortization</w:t>
        <w:tab/>
        <w:t>of</w:t>
        <w:tab/>
        <w:t>intangible</w:t>
        <w:tab/>
        <w:t>assets</w:t>
        <w:tab/>
        <w:t>and</w:t>
        <w:tab/>
        <w:t>software</w:t>
        <w:tab/>
        <w:t>acquired</w:t>
        <w:tab/>
        <w:t>through</w:t>
        <w:tab/>
        <w:t>acquisitions</w:t>
        <w:tab/>
        <w:t>of</w:t>
        <w:tab/>
        <w:t>business</w:t>
        <w:tab/>
        <w:t>or</w:t>
        <w:tab/>
        <w:t>other</w:t>
        <w:tab/>
        <w:t>purchases</w:t>
        <w:tab/>
        <w:t>of</w:t>
        <w:tab/>
        <w:t>intangible</w:t>
        <w:tab/>
        <w:t>assets. 6.) Non-cash</w:t>
        <w:tab/>
        <w:t>interest</w:t>
        <w:tab/>
        <w:t>expense</w:t>
        <w:tab/>
        <w:t>reflects</w:t>
        <w:tab/>
        <w:t>amortization</w:t>
        <w:tab/>
        <w:t>of</w:t>
        <w:tab/>
        <w:t>debt</w:t>
        <w:tab/>
        <w:t>issuance</w:t>
        <w:tab/>
        <w:t>costs</w:t>
        <w:tab/>
        <w:t>and</w:t>
        <w:tab/>
        <w:t>any</w:t>
        <w:tab/>
        <w:t>write-offs</w:t>
        <w:tab/>
        <w:t>of</w:t>
        <w:tab/>
        <w:t>debt</w:t>
        <w:tab/>
        <w:t>issuance</w:t>
        <w:tab/>
        <w:t>costs. 7.) Other</w:t>
        <w:tab/>
        <w:t>taxes</w:t>
        <w:tab/>
        <w:t>consist</w:t>
        <w:tab/>
        <w:t>of</w:t>
        <w:tab/>
        <w:t>franchise</w:t>
        <w:tab/>
        <w:t>taxes,</w:t>
        <w:tab/>
        <w:t>commercial</w:t>
        <w:tab/>
        <w:t>activity</w:t>
        <w:tab/>
        <w:t>taxes,</w:t>
        <w:tab/>
        <w:t>reserves</w:t>
        <w:tab/>
        <w:t>for</w:t>
        <w:tab/>
        <w:t>ongoing</w:t>
        <w:tab/>
        <w:t>tax</w:t>
        <w:tab/>
        <w:t>audit</w:t>
        <w:tab/>
        <w:t>matters,</w:t>
        <w:tab/>
        <w:t>the</w:t>
        <w:tab/>
        <w:t>employer</w:t>
        <w:tab/>
        <w:t>portion</w:t>
        <w:tab/>
        <w:t>of</w:t>
        <w:tab/>
        <w:t>payroll</w:t>
        <w:tab/>
        <w:t>taxes</w:t>
        <w:tab/>
        <w:t>related</w:t>
        <w:tab/>
        <w:t>to</w:t>
        <w:tab/>
        <w:t>stock</w:t>
        <w:tab/>
        <w:t>option</w:t>
        <w:tab/>
        <w:t>exercises</w:t>
        <w:tab/>
        <w:t xml:space="preserve"> and</w:t>
        <w:tab/>
        <w:t>other</w:t>
        <w:tab/>
        <w:t>non-income-based</w:t>
        <w:tab/>
        <w:t>taxes.</w:t>
        <w:tab/>
        <w:t>Taxes</w:t>
        <w:tab/>
        <w:t>related</w:t>
        <w:tab/>
        <w:t>to</w:t>
        <w:tab/>
        <w:t>salaries</w:t>
        <w:tab/>
        <w:t>are</w:t>
        <w:tab/>
        <w:t>not</w:t>
        <w:tab/>
        <w:t>included.</w:t>
        <w:tab/>
        <w:t xml:space="preserve"> 8.) Under</w:t>
        <w:tab/>
        <w:t>our</w:t>
        <w:tab/>
        <w:t>Tax</w:t>
        <w:tab/>
        <w:t>Receivable</w:t>
        <w:tab/>
        <w:t>Agreement</w:t>
        <w:tab/>
        <w:t>we</w:t>
        <w:tab/>
        <w:t>have</w:t>
        <w:tab/>
        <w:t>a</w:t>
        <w:tab/>
        <w:t>liability</w:t>
        <w:tab/>
        <w:t>equal</w:t>
        <w:tab/>
        <w:t>to</w:t>
        <w:tab/>
        <w:t>85%</w:t>
        <w:tab/>
        <w:t>of</w:t>
        <w:tab/>
        <w:t>certain</w:t>
        <w:tab/>
        <w:t>deferred</w:t>
        <w:tab/>
        <w:t>tax</w:t>
        <w:tab/>
        <w:t>assets</w:t>
        <w:tab/>
        <w:t>resulting</w:t>
        <w:tab/>
        <w:t>from</w:t>
        <w:tab/>
        <w:t>an</w:t>
        <w:tab/>
        <w:t>increase</w:t>
        <w:tab/>
        <w:t>in</w:t>
        <w:tab/>
        <w:t>the</w:t>
        <w:tab/>
        <w:t>tax</w:t>
        <w:tab/>
        <w:t>basis</w:t>
        <w:tab/>
        <w:t>of</w:t>
        <w:tab/>
        <w:t>our</w:t>
        <w:tab/>
        <w:t>investment</w:t>
        <w:tab/>
        <w:t>in</w:t>
        <w:tab/>
        <w:t>i3</w:t>
        <w:tab/>
        <w:t>Verticals,</w:t>
        <w:tab/>
        <w:t xml:space="preserve"> LLC.</w:t>
        <w:tab/>
        <w:t>Other</w:t>
        <w:tab/>
        <w:t>expenses</w:t>
        <w:tab/>
        <w:t>related</w:t>
        <w:tab/>
        <w:t>to</w:t>
        <w:tab/>
        <w:t>adjustments</w:t>
        <w:tab/>
        <w:t>of</w:t>
        <w:tab/>
        <w:t>liabilities</w:t>
        <w:tab/>
        <w:t>under</w:t>
        <w:tab/>
        <w:t>our</w:t>
        <w:tab/>
        <w:t>Tax</w:t>
        <w:tab/>
        <w:t>Receivable</w:t>
        <w:tab/>
        <w:t>Agreement</w:t>
        <w:tab/>
        <w:t>relate</w:t>
        <w:tab/>
        <w:t>to</w:t>
        <w:tab/>
        <w:t>the</w:t>
        <w:tab/>
        <w:t>remeasurement</w:t>
        <w:tab/>
        <w:t>of</w:t>
        <w:tab/>
        <w:t>the</w:t>
        <w:tab/>
        <w:t>underlying</w:t>
        <w:tab/>
        <w:t>deferred</w:t>
        <w:tab/>
        <w:t>tax</w:t>
        <w:tab/>
        <w:t>asset</w:t>
        <w:tab/>
        <w:t>for</w:t>
        <w:tab/>
        <w:t>changes</w:t>
        <w:tab/>
        <w:t>in</w:t>
        <w:tab/>
        <w:t xml:space="preserve"> estimated</w:t>
        <w:tab/>
        <w:t>income</w:t>
        <w:tab/>
        <w:t>tax</w:t>
        <w:tab/>
        <w:t>rates.</w:t>
        <w:tab/>
        <w:t xml:space="preserve"> 9.) Loss</w:t>
        <w:tab/>
        <w:t>(gain)</w:t>
        <w:tab/>
        <w:t>on</w:t>
        <w:tab/>
        <w:t>disposal</w:t>
        <w:tab/>
        <w:t>of</w:t>
        <w:tab/>
        <w:t>property</w:t>
        <w:tab/>
        <w:t>and</w:t>
        <w:tab/>
        <w:t>equipment</w:t>
        <w:tab/>
        <w:t>is</w:t>
        <w:tab/>
        <w:t>related</w:t>
        <w:tab/>
        <w:t>to</w:t>
        <w:tab/>
        <w:t>the</w:t>
        <w:tab/>
        <w:t>sale</w:t>
        <w:tab/>
        <w:t>of</w:t>
        <w:tab/>
        <w:t>buildings</w:t>
        <w:tab/>
        <w:t>and</w:t>
        <w:tab/>
        <w:t>automobiles</w:t>
        <w:tab/>
        <w:t>purchased</w:t>
        <w:tab/>
        <w:t>through</w:t>
        <w:tab/>
        <w:t>acquisitions.</w:t>
        <w:tab/>
        <w:t xml:space="preserve"> 10.) Represents</w:t>
        <w:tab/>
        <w:t>a</w:t>
        <w:tab/>
        <w:t>non-GAAP</w:t>
        <w:tab/>
        <w:t>financial</w:t>
        <w:tab/>
        <w:t>measure. 11.) Corporate</w:t>
        <w:tab/>
        <w:t>income</w:t>
        <w:tab/>
        <w:t>tax</w:t>
        <w:tab/>
        <w:t>expense</w:t>
        <w:tab/>
        <w:t>is</w:t>
        <w:tab/>
        <w:t>based</w:t>
        <w:tab/>
        <w:t>on</w:t>
        <w:tab/>
        <w:t>non-GAAP</w:t>
        <w:tab/>
        <w:t>adjusted</w:t>
        <w:tab/>
        <w:t>income</w:t>
        <w:tab/>
        <w:t>before</w:t>
        <w:tab/>
        <w:t>taxes</w:t>
        <w:tab/>
        <w:t>from</w:t>
        <w:tab/>
        <w:t>continuing</w:t>
        <w:tab/>
        <w:t>operations</w:t>
        <w:tab/>
        <w:t>and</w:t>
        <w:tab/>
        <w:t>is</w:t>
        <w:tab/>
        <w:t>calculated</w:t>
        <w:tab/>
        <w:t>using</w:t>
        <w:tab/>
        <w:t>a</w:t>
        <w:tab/>
        <w:t>tax</w:t>
        <w:tab/>
        <w:t>rate</w:t>
        <w:tab/>
        <w:t>of</w:t>
        <w:tab/>
        <w:t>25.0%</w:t>
        <w:tab/>
        <w:t>for</w:t>
        <w:tab/>
        <w:t>all</w:t>
        <w:tab/>
        <w:t>periods</w:t>
        <w:tab/>
        <w:t xml:space="preserve"> presented,</w:t>
        <w:tab/>
        <w:t>based</w:t>
        <w:tab/>
        <w:t>on</w:t>
        <w:tab/>
        <w:t>the</w:t>
        <w:tab/>
        <w:t>estimated</w:t>
        <w:tab/>
        <w:t>long-term</w:t>
        <w:tab/>
        <w:t>effective</w:t>
        <w:tab/>
        <w:t>tax</w:t>
        <w:tab/>
        <w:t>rate,</w:t>
        <w:tab/>
        <w:t>considering</w:t>
        <w:tab/>
        <w:t>blended</w:t>
        <w:tab/>
        <w:t>federal</w:t>
        <w:tab/>
        <w:t>and</w:t>
        <w:tab/>
        <w:t>state</w:t>
        <w:tab/>
        <w:t>tax</w:t>
        <w:tab/>
        <w:t>rates. 12.) Cash</w:t>
        <w:tab/>
        <w:t>interest</w:t>
        <w:tab/>
        <w:t>expense</w:t>
        <w:tab/>
        <w:t>(income),</w:t>
        <w:tab/>
        <w:t>net,</w:t>
        <w:tab/>
        <w:t>represents</w:t>
        <w:tab/>
        <w:t>all</w:t>
        <w:tab/>
        <w:t>interest</w:t>
        <w:tab/>
        <w:t>expense</w:t>
        <w:tab/>
        <w:t>net</w:t>
        <w:tab/>
        <w:t>of</w:t>
        <w:tab/>
        <w:t>interest</w:t>
        <w:tab/>
        <w:t>income</w:t>
        <w:tab/>
        <w:t>recorded</w:t>
        <w:tab/>
        <w:t>on</w:t>
        <w:tab/>
        <w:t>the</w:t>
        <w:tab/>
        <w:t>Company's</w:t>
        <w:tab/>
        <w:t>statement</w:t>
        <w:tab/>
        <w:t>of</w:t>
        <w:tab/>
        <w:t>operations</w:t>
        <w:tab/>
        <w:t>other</w:t>
        <w:tab/>
        <w:t>than</w:t>
        <w:tab/>
        <w:t>non-cash</w:t>
        <w:tab/>
        <w:t>interest</w:t>
        <w:tab/>
        <w:t xml:space="preserve"> expense,</w:t>
        <w:tab/>
        <w:t>which</w:t>
        <w:tab/>
        <w:t>represents</w:t>
        <w:tab/>
        <w:t>amortization</w:t>
        <w:tab/>
        <w:t>of</w:t>
        <w:tab/>
        <w:t>debt</w:t>
        <w:tab/>
        <w:t>issuance</w:t>
        <w:tab/>
        <w:t>costs</w:t>
        <w:tab/>
        <w:t>and</w:t>
        <w:tab/>
        <w:t>any</w:t>
        <w:tab/>
        <w:t>write-offs</w:t>
        <w:tab/>
        <w:t>of</w:t>
        <w:tab/>
        <w:t>debt</w:t>
        <w:tab/>
        <w:t>issuance</w:t>
        <w:tab/>
        <w:t>costs. 13.) Depreciation</w:t>
        <w:tab/>
        <w:t>and</w:t>
        <w:tab/>
        <w:t>internally</w:t>
        <w:tab/>
        <w:t>developed</w:t>
        <w:tab/>
        <w:t>software</w:t>
        <w:tab/>
        <w:t>amortization</w:t>
        <w:tab/>
        <w:t>reflects</w:t>
        <w:tab/>
        <w:t>depreciation</w:t>
        <w:tab/>
        <w:t>on</w:t>
        <w:tab/>
        <w:t>the</w:t>
        <w:tab/>
        <w:t>Company's</w:t>
        <w:tab/>
        <w:t>property,</w:t>
        <w:tab/>
        <w:t>plant</w:t>
        <w:tab/>
        <w:t>and</w:t>
        <w:tab/>
        <w:t>equipment,</w:t>
        <w:tab/>
        <w:t>net,</w:t>
        <w:tab/>
        <w:t>and</w:t>
        <w:tab/>
        <w:t>amortization</w:t>
        <w:tab/>
        <w:t>expense</w:t>
        <w:tab/>
        <w:t>on</w:t>
        <w:tab/>
        <w:t>its</w:t>
        <w:tab/>
        <w:t xml:space="preserve"> internally</w:t>
        <w:tab/>
        <w:t>developed</w:t>
        <w:tab/>
        <w:t>capitalized</w:t>
        <w:tab/>
        <w:t xml:space="preserve">software. Reconciliation of Non-GAAP Financial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8 See</w:t>
        <w:tab/>
        <w:t>footnotes</w:t>
        <w:tab/>
        <w:t>on</w:t>
        <w:tab/>
        <w:t>the</w:t>
        <w:tab/>
        <w:t>next</w:t>
        <w:tab/>
        <w:t>slide. Non-GAAP Adjusted Diluted EPS from Continuing Operations(1) The</w:t>
        <w:tab/>
        <w:t>reconciliation</w:t>
        <w:tab/>
        <w:t>of</w:t>
        <w:tab/>
        <w:t>our</w:t>
        <w:tab/>
        <w:t>GAAP</w:t>
        <w:tab/>
        <w:t>diluted</w:t>
        <w:tab/>
        <w:t>EPS</w:t>
        <w:tab/>
        <w:t>from</w:t>
        <w:tab/>
        <w:t>continuing</w:t>
        <w:tab/>
        <w:t>operations</w:t>
        <w:tab/>
        <w:t>and</w:t>
        <w:tab/>
        <w:t>non-GAAP</w:t>
        <w:tab/>
        <w:t>Adjusted</w:t>
        <w:tab/>
        <w:t>diluted</w:t>
        <w:tab/>
        <w:t>EPS</w:t>
        <w:tab/>
        <w:t>from</w:t>
        <w:tab/>
        <w:t>continuing</w:t>
        <w:tab/>
        <w:t>operations</w:t>
        <w:tab/>
        <w:t>for</w:t>
        <w:tab/>
        <w:t>the</w:t>
        <w:tab/>
        <w:t>current</w:t>
        <w:tab/>
        <w:t xml:space="preserve"> and</w:t>
        <w:tab/>
        <w:t>prior</w:t>
        <w:tab/>
        <w:t>year</w:t>
        <w:tab/>
        <w:t>quarters</w:t>
        <w:tab/>
        <w:t>are</w:t>
        <w:tab/>
        <w:t>as</w:t>
        <w:tab/>
        <w:t>follows: ($</w:t>
        <w:tab/>
        <w:t>in</w:t>
        <w:tab/>
        <w:t>thousands,</w:t>
        <w:tab/>
        <w:t>except</w:t>
        <w:tab/>
        <w:t>share</w:t>
        <w:tab/>
        <w:t>and</w:t>
        <w:tab/>
        <w:t>per</w:t>
        <w:tab/>
        <w:t>share</w:t>
        <w:tab/>
        <w:t>amounts) Three</w:t>
        <w:tab/>
        <w:t>Months</w:t>
        <w:tab/>
        <w:t>Ended March</w:t>
        <w:tab/>
        <w:t>31,</w:t>
        <w:tab/>
        <w:t>2026 December</w:t>
        <w:tab/>
        <w:t>31,</w:t>
        <w:tab/>
        <w:t xml:space="preserve"> 2025 September</w:t>
        <w:tab/>
        <w:t>30,</w:t>
        <w:tab/>
        <w:t xml:space="preserve"> 2025 June</w:t>
        <w:tab/>
        <w:t>30,</w:t>
        <w:tab/>
        <w:t>2025 March</w:t>
        <w:tab/>
        <w:t>31,</w:t>
        <w:tab/>
        <w:t>2025 December</w:t>
        <w:tab/>
        <w:t>31,</w:t>
        <w:tab/>
        <w:t xml:space="preserve"> 2024 Diluted</w:t>
        <w:tab/>
        <w:t>net</w:t>
        <w:tab/>
        <w:t>income</w:t>
        <w:tab/>
        <w:t>(loss)</w:t>
        <w:tab/>
        <w:t>per</w:t>
        <w:tab/>
        <w:t>share</w:t>
        <w:tab/>
        <w:t>attributable</w:t>
        <w:tab/>
        <w:t>to</w:t>
        <w:tab/>
        <w:t>Class</w:t>
        <w:tab/>
        <w:t>A</w:t>
        <w:tab/>
        <w:t>common</w:t>
        <w:tab/>
        <w:t xml:space="preserve"> stockholders</w:t>
        <w:tab/>
        <w:t>from</w:t>
        <w:tab/>
        <w:t>continuing</w:t>
        <w:tab/>
        <w:t>operations(1) $</w:t>
        <w:tab/>
        <w:t xml:space="preserve"> 0.07</w:t>
        <w:tab/>
        <w:t xml:space="preserve"> $</w:t>
        <w:tab/>
        <w:t xml:space="preserve"> 0.02</w:t>
        <w:tab/>
        <w:t xml:space="preserve"> $</w:t>
        <w:tab/>
        <w:t xml:space="preserve"> 0.04</w:t>
        <w:tab/>
        <w:t xml:space="preserve"> $</w:t>
        <w:tab/>
        <w:t xml:space="preserve"> (0.03)</w:t>
        <w:tab/>
        <w:t xml:space="preserve"> $</w:t>
        <w:tab/>
        <w:t xml:space="preserve"> 0.04</w:t>
        <w:tab/>
        <w:t xml:space="preserve"> $</w:t>
        <w:tab/>
        <w:t xml:space="preserve"> 0.08</w:t>
        <w:tab/>
        <w:t xml:space="preserve"> Adjusted</w:t>
        <w:tab/>
        <w:t>diluted</w:t>
        <w:tab/>
        <w:t>earnings</w:t>
        <w:tab/>
        <w:t>per</w:t>
        <w:tab/>
        <w:t>share</w:t>
        <w:tab/>
        <w:t>from</w:t>
        <w:tab/>
        <w:t>continuing</w:t>
        <w:tab/>
        <w:t>operations(2)(3) $</w:t>
        <w:tab/>
        <w:t xml:space="preserve"> 0.32</w:t>
        <w:tab/>
        <w:t xml:space="preserve"> $</w:t>
        <w:tab/>
        <w:t xml:space="preserve"> 0.26</w:t>
        <w:tab/>
        <w:t xml:space="preserve"> $</w:t>
        <w:tab/>
        <w:t xml:space="preserve"> 0.27</w:t>
        <w:tab/>
        <w:t xml:space="preserve"> $</w:t>
        <w:tab/>
        <w:t xml:space="preserve"> 0.23</w:t>
        <w:tab/>
        <w:t xml:space="preserve"> $</w:t>
        <w:tab/>
        <w:t xml:space="preserve"> 0.29</w:t>
        <w:tab/>
        <w:t xml:space="preserve"> $</w:t>
        <w:tab/>
        <w:t xml:space="preserve"> 0.27</w:t>
        <w:tab/>
        <w:t xml:space="preserve"> Adjusted</w:t>
        <w:tab/>
        <w:t>net</w:t>
        <w:tab/>
        <w:t>income</w:t>
        <w:tab/>
        <w:t>from</w:t>
        <w:tab/>
        <w:t>continuing</w:t>
        <w:tab/>
        <w:t>operations(2)(4) $</w:t>
        <w:tab/>
        <w:t xml:space="preserve"> 9,706</w:t>
        <w:tab/>
        <w:t xml:space="preserve"> $</w:t>
        <w:tab/>
        <w:t xml:space="preserve"> 8,586</w:t>
        <w:tab/>
        <w:t xml:space="preserve"> $</w:t>
        <w:tab/>
        <w:t xml:space="preserve"> 9,103</w:t>
        <w:tab/>
        <w:t xml:space="preserve"> $</w:t>
        <w:tab/>
        <w:t xml:space="preserve"> 7,687</w:t>
        <w:tab/>
        <w:t xml:space="preserve"> $</w:t>
        <w:tab/>
        <w:t xml:space="preserve"> 9,754</w:t>
        <w:tab/>
        <w:t xml:space="preserve"> $</w:t>
        <w:tab/>
        <w:t xml:space="preserve"> 9,211</w:t>
        <w:tab/>
        <w:t xml:space="preserve"> Adjusted</w:t>
        <w:tab/>
        <w:t>weighted</w:t>
        <w:tab/>
        <w:t>average</w:t>
        <w:tab/>
        <w:t>shares</w:t>
        <w:tab/>
        <w:t>of</w:t>
        <w:tab/>
        <w:t>adjusted</w:t>
        <w:tab/>
        <w:t>diluted</w:t>
        <w:tab/>
        <w:t>Class</w:t>
        <w:tab/>
        <w:t>A</w:t>
        <w:tab/>
        <w:t xml:space="preserve"> common</w:t>
        <w:tab/>
        <w:t>stock</w:t>
        <w:tab/>
        <w:t xml:space="preserve">outstanding(2)(5) </w:t>
        <w:tab/>
        <w:t xml:space="preserve"> 30,582,587</w:t>
        <w:tab/>
        <w:t xml:space="preserve"> </w:t>
        <w:tab/>
        <w:t xml:space="preserve"> 33,473,435</w:t>
        <w:tab/>
        <w:t xml:space="preserve"> </w:t>
        <w:tab/>
        <w:t xml:space="preserve"> 34,215,380</w:t>
        <w:tab/>
        <w:t xml:space="preserve"> </w:t>
        <w:tab/>
        <w:t xml:space="preserve"> 33,936,121</w:t>
        <w:tab/>
        <w:t xml:space="preserve"> </w:t>
        <w:tab/>
        <w:t xml:space="preserve"> 33,542,165</w:t>
        <w:tab/>
        <w:t xml:space="preserve"> </w:t>
        <w:tab/>
        <w:t xml:space="preserve"> 34,057,196</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9 1.) Diluted</w:t>
        <w:tab/>
        <w:t>net</w:t>
        <w:tab/>
        <w:t>income</w:t>
        <w:tab/>
        <w:t>(loss)</w:t>
        <w:tab/>
        <w:t>per</w:t>
        <w:tab/>
        <w:t>share</w:t>
        <w:tab/>
        <w:t>attributable</w:t>
        <w:tab/>
        <w:t>to</w:t>
        <w:tab/>
        <w:t>Class</w:t>
        <w:tab/>
        <w:t>A</w:t>
        <w:tab/>
        <w:t>common</w:t>
        <w:tab/>
        <w:t>stockholders</w:t>
        <w:tab/>
        <w:t>from</w:t>
        <w:tab/>
        <w:t>continuing</w:t>
        <w:tab/>
        <w:t>operations</w:t>
        <w:tab/>
        <w:t>and</w:t>
        <w:tab/>
        <w:t>adjusted</w:t>
        <w:tab/>
        <w:t>diluted</w:t>
        <w:tab/>
        <w:t>earnings</w:t>
        <w:tab/>
        <w:t>per</w:t>
        <w:tab/>
        <w:t>share</w:t>
        <w:tab/>
        <w:t>from</w:t>
        <w:tab/>
        <w:t>continuing</w:t>
        <w:tab/>
        <w:t xml:space="preserve"> operations</w:t>
        <w:tab/>
        <w:t>both</w:t>
        <w:tab/>
        <w:t>exclude</w:t>
        <w:tab/>
        <w:t>the</w:t>
        <w:tab/>
        <w:t>discontinued</w:t>
        <w:tab/>
        <w:t>operations</w:t>
        <w:tab/>
        <w:t>of</w:t>
        <w:tab/>
        <w:t>the</w:t>
        <w:tab/>
        <w:t>Merchant</w:t>
        <w:tab/>
        <w:t>Services</w:t>
        <w:tab/>
        <w:t>Business</w:t>
        <w:tab/>
        <w:t>and</w:t>
        <w:tab/>
        <w:t>the</w:t>
        <w:tab/>
        <w:t>Healthcare</w:t>
        <w:tab/>
        <w:t>RCM</w:t>
        <w:tab/>
        <w:t>Business</w:t>
        <w:tab/>
        <w:t>but</w:t>
        <w:tab/>
        <w:t>include</w:t>
        <w:tab/>
        <w:t>the</w:t>
        <w:tab/>
        <w:t>consolidated</w:t>
        <w:tab/>
        <w:t>cash</w:t>
        <w:tab/>
        <w:t>interest</w:t>
        <w:tab/>
        <w:t>expense. 2.) Represents</w:t>
        <w:tab/>
        <w:t>a</w:t>
        <w:tab/>
        <w:t>non-GAAP</w:t>
        <w:tab/>
        <w:t>financial</w:t>
        <w:tab/>
        <w:t>measure. 3.) Adjusted</w:t>
        <w:tab/>
        <w:t>diluted</w:t>
        <w:tab/>
        <w:t>earnings</w:t>
        <w:tab/>
        <w:t>per</w:t>
        <w:tab/>
        <w:t>share</w:t>
        <w:tab/>
        <w:t>from</w:t>
        <w:tab/>
        <w:t>continuing</w:t>
        <w:tab/>
        <w:t>operations,</w:t>
        <w:tab/>
        <w:t>a</w:t>
        <w:tab/>
        <w:t>non-GAAP</w:t>
        <w:tab/>
        <w:t>financial</w:t>
        <w:tab/>
        <w:t>measure,</w:t>
        <w:tab/>
        <w:t xml:space="preserve"> is</w:t>
        <w:tab/>
        <w:t>calculated</w:t>
        <w:tab/>
        <w:t>using</w:t>
        <w:tab/>
        <w:t>adjusted</w:t>
        <w:tab/>
        <w:t>net</w:t>
        <w:tab/>
        <w:t xml:space="preserve"> income</w:t>
        <w:tab/>
        <w:t>from</w:t>
        <w:tab/>
        <w:t>continuing</w:t>
        <w:tab/>
        <w:t>operations</w:t>
        <w:tab/>
        <w:t>and</w:t>
        <w:tab/>
        <w:t>the</w:t>
        <w:tab/>
        <w:t xml:space="preserve"> adjusted</w:t>
        <w:tab/>
        <w:t>weighted</w:t>
        <w:tab/>
        <w:t>average</w:t>
        <w:tab/>
        <w:t>shares</w:t>
        <w:tab/>
        <w:t>of</w:t>
        <w:tab/>
        <w:t>adjusted</w:t>
        <w:tab/>
        <w:t>diluted</w:t>
        <w:tab/>
        <w:t>Class</w:t>
        <w:tab/>
        <w:t>A</w:t>
        <w:tab/>
        <w:t>common</w:t>
        <w:tab/>
        <w:t>stock</w:t>
        <w:tab/>
        <w:t>outstanding.</w:t>
        <w:tab/>
        <w:t>Further,</w:t>
        <w:tab/>
        <w:t>adjusted</w:t>
        <w:tab/>
        <w:t>diluted</w:t>
        <w:tab/>
        <w:t>earnings</w:t>
        <w:tab/>
        <w:t>per</w:t>
        <w:tab/>
        <w:t>share</w:t>
        <w:tab/>
        <w:t>from</w:t>
        <w:tab/>
        <w:t>continuing</w:t>
        <w:tab/>
        <w:t>operations</w:t>
        <w:tab/>
        <w:t>assumes</w:t>
        <w:tab/>
        <w:t>that</w:t>
        <w:tab/>
        <w:t xml:space="preserve"> all</w:t>
        <w:tab/>
        <w:t>Common</w:t>
        <w:tab/>
        <w:t>Units</w:t>
        <w:tab/>
        <w:t>in</w:t>
        <w:tab/>
        <w:t>i3</w:t>
        <w:tab/>
        <w:t>Verticals,</w:t>
        <w:tab/>
        <w:t>LLC</w:t>
        <w:tab/>
        <w:t>and</w:t>
        <w:tab/>
        <w:t>the</w:t>
        <w:tab/>
        <w:t>associated</w:t>
        <w:tab/>
        <w:t>non-voting</w:t>
        <w:tab/>
        <w:t>Class</w:t>
        <w:tab/>
        <w:t>B</w:t>
        <w:tab/>
        <w:t>common</w:t>
        <w:tab/>
        <w:t>stock</w:t>
        <w:tab/>
        <w:t>were</w:t>
        <w:tab/>
        <w:t>exchanged</w:t>
        <w:tab/>
        <w:t>for</w:t>
        <w:tab/>
        <w:t>Class</w:t>
        <w:tab/>
        <w:t>A</w:t>
        <w:tab/>
        <w:t>common</w:t>
        <w:tab/>
        <w:t>stock</w:t>
        <w:tab/>
        <w:t>at</w:t>
        <w:tab/>
        <w:t>the</w:t>
        <w:tab/>
        <w:t>beginning</w:t>
        <w:tab/>
        <w:t>of</w:t>
        <w:tab/>
        <w:t>the</w:t>
        <w:tab/>
        <w:t>period</w:t>
        <w:tab/>
        <w:t>on</w:t>
        <w:tab/>
        <w:t>a</w:t>
        <w:tab/>
        <w:t>one- for-one</w:t>
        <w:tab/>
        <w:t>basis.</w:t>
        <w:tab/>
        <w:t xml:space="preserve"> 4.) Adjusted</w:t>
        <w:tab/>
        <w:t>net</w:t>
        <w:tab/>
        <w:t>income</w:t>
        <w:tab/>
        <w:t>from</w:t>
        <w:tab/>
        <w:t>continuing</w:t>
        <w:tab/>
        <w:t>operations,</w:t>
        <w:tab/>
        <w:t>a</w:t>
        <w:tab/>
        <w:t>non-GAAP</w:t>
        <w:tab/>
        <w:t>financial</w:t>
        <w:tab/>
        <w:t>measure,</w:t>
        <w:tab/>
        <w:t>assumes</w:t>
        <w:tab/>
        <w:t>that</w:t>
        <w:tab/>
        <w:t>all</w:t>
        <w:tab/>
        <w:t>net</w:t>
        <w:tab/>
        <w:t>income</w:t>
        <w:tab/>
        <w:t>from</w:t>
        <w:tab/>
        <w:t>continuing</w:t>
        <w:tab/>
        <w:t>operations</w:t>
        <w:tab/>
        <w:t>during</w:t>
        <w:tab/>
        <w:t>the</w:t>
        <w:tab/>
        <w:t>period</w:t>
        <w:tab/>
        <w:t>is</w:t>
        <w:tab/>
        <w:t>available</w:t>
        <w:tab/>
        <w:t>to</w:t>
        <w:tab/>
        <w:t>the</w:t>
        <w:tab/>
        <w:t xml:space="preserve"> holders</w:t>
        <w:tab/>
        <w:t>of</w:t>
        <w:tab/>
        <w:t>the</w:t>
        <w:tab/>
        <w:t>Company's</w:t>
        <w:tab/>
        <w:t>Class</w:t>
        <w:tab/>
        <w:t>A</w:t>
        <w:tab/>
        <w:t>common</w:t>
        <w:tab/>
        <w:t>stock.</w:t>
        <w:tab/>
        <w:t xml:space="preserve"> 5.) Adjusted</w:t>
        <w:tab/>
        <w:t>weighted</w:t>
        <w:tab/>
        <w:t>average</w:t>
        <w:tab/>
        <w:t>shares</w:t>
        <w:tab/>
        <w:t>of</w:t>
        <w:tab/>
        <w:t>adjusted</w:t>
        <w:tab/>
        <w:t>diluted</w:t>
        <w:tab/>
        <w:t>Class</w:t>
        <w:tab/>
        <w:t>A</w:t>
        <w:tab/>
        <w:t>common</w:t>
        <w:tab/>
        <w:t>stock</w:t>
        <w:tab/>
        <w:t>outstanding</w:t>
        <w:tab/>
        <w:t>include</w:t>
        <w:tab/>
        <w:t>the</w:t>
        <w:tab/>
        <w:t>following</w:t>
        <w:tab/>
        <w:t>outstanding</w:t>
        <w:tab/>
        <w:t>shares</w:t>
        <w:tab/>
        <w:t>of</w:t>
        <w:tab/>
        <w:t>Class</w:t>
        <w:tab/>
        <w:t>A</w:t>
        <w:tab/>
        <w:t>common</w:t>
        <w:tab/>
        <w:t>stock</w:t>
        <w:tab/>
        <w:t>issuable</w:t>
        <w:tab/>
        <w:t>upon</w:t>
        <w:tab/>
        <w:t>the</w:t>
        <w:tab/>
        <w:t xml:space="preserve"> exchange</w:t>
        <w:tab/>
        <w:t>of</w:t>
        <w:tab/>
        <w:t>Common</w:t>
        <w:tab/>
        <w:t>Units</w:t>
        <w:tab/>
        <w:t>in</w:t>
        <w:tab/>
        <w:t>i3</w:t>
        <w:tab/>
        <w:t>Verticals,</w:t>
        <w:tab/>
        <w:t>LLC</w:t>
        <w:tab/>
        <w:t>and</w:t>
        <w:tab/>
        <w:t>the</w:t>
        <w:tab/>
        <w:t>following</w:t>
        <w:tab/>
        <w:t>shares</w:t>
        <w:tab/>
        <w:t>resulting</w:t>
        <w:tab/>
        <w:t>from</w:t>
        <w:tab/>
        <w:t>estimated</w:t>
        <w:tab/>
        <w:t>stock</w:t>
        <w:tab/>
        <w:t>option</w:t>
        <w:tab/>
        <w:t>exercises</w:t>
        <w:tab/>
        <w:t>and</w:t>
        <w:tab/>
        <w:t>restricted</w:t>
        <w:tab/>
        <w:t>stock</w:t>
        <w:tab/>
        <w:t>units</w:t>
        <w:tab/>
        <w:t>vesting</w:t>
        <w:tab/>
        <w:t>as</w:t>
        <w:tab/>
        <w:t>calculated</w:t>
        <w:tab/>
        <w:t>by</w:t>
        <w:tab/>
        <w:t>the</w:t>
        <w:tab/>
        <w:t xml:space="preserve"> treasury</w:t>
        <w:tab/>
        <w:t>stock</w:t>
        <w:tab/>
        <w:t>method</w:t>
        <w:tab/>
        <w:t>for</w:t>
        <w:tab/>
        <w:t>each</w:t>
        <w:tab/>
        <w:t>of</w:t>
        <w:tab/>
        <w:t>the</w:t>
        <w:tab/>
        <w:t>period</w:t>
        <w:tab/>
        <w:t>presented: • For</w:t>
        <w:tab/>
        <w:t>the</w:t>
        <w:tab/>
        <w:t>three</w:t>
        <w:tab/>
        <w:t>months</w:t>
        <w:tab/>
        <w:t>ended</w:t>
        <w:tab/>
        <w:t>March</w:t>
        <w:tab/>
        <w:t>31,</w:t>
        <w:tab/>
        <w:t>2026,</w:t>
        <w:tab/>
        <w:t>adjusted</w:t>
        <w:tab/>
        <w:t>weighted</w:t>
        <w:tab/>
        <w:t>average</w:t>
        <w:tab/>
        <w:t>shares</w:t>
        <w:tab/>
        <w:t>of</w:t>
        <w:tab/>
        <w:t>adjusted</w:t>
        <w:tab/>
        <w:t>diluted</w:t>
        <w:tab/>
        <w:t>Class</w:t>
        <w:tab/>
        <w:t>A</w:t>
        <w:tab/>
        <w:t>common</w:t>
        <w:tab/>
        <w:t>stock</w:t>
        <w:tab/>
        <w:t>outstanding</w:t>
        <w:tab/>
        <w:t>include</w:t>
        <w:tab/>
        <w:t>8,381,681</w:t>
        <w:tab/>
        <w:t>weighted</w:t>
        <w:tab/>
        <w:t xml:space="preserve"> average</w:t>
        <w:tab/>
        <w:t>outstanding</w:t>
        <w:tab/>
        <w:t>shares</w:t>
        <w:tab/>
        <w:t>of</w:t>
        <w:tab/>
        <w:t>Class</w:t>
        <w:tab/>
        <w:t>B</w:t>
        <w:tab/>
        <w:t>common</w:t>
        <w:tab/>
        <w:t>stock</w:t>
        <w:tab/>
        <w:t>(which</w:t>
        <w:tab/>
        <w:t>can</w:t>
        <w:tab/>
        <w:t>be</w:t>
        <w:tab/>
        <w:t>converted</w:t>
        <w:tab/>
        <w:t>into</w:t>
        <w:tab/>
        <w:t>Class</w:t>
        <w:tab/>
        <w:t>A</w:t>
        <w:tab/>
        <w:t>common</w:t>
        <w:tab/>
        <w:t>stock</w:t>
        <w:tab/>
        <w:t>upon</w:t>
        <w:tab/>
        <w:t>the</w:t>
        <w:tab/>
        <w:t>exchange</w:t>
        <w:tab/>
        <w:t>of</w:t>
        <w:tab/>
        <w:t>the</w:t>
        <w:tab/>
        <w:t>Class</w:t>
        <w:tab/>
        <w:t>B</w:t>
        <w:tab/>
        <w:t>common</w:t>
        <w:tab/>
        <w:t>stock</w:t>
        <w:tab/>
        <w:t>and</w:t>
        <w:tab/>
        <w:t>the</w:t>
        <w:tab/>
        <w:t xml:space="preserve"> associated</w:t>
        <w:tab/>
        <w:t>Common</w:t>
        <w:tab/>
        <w:t>Units</w:t>
        <w:tab/>
        <w:t>in</w:t>
        <w:tab/>
        <w:t>i3</w:t>
        <w:tab/>
        <w:t>Verticals,</w:t>
        <w:tab/>
        <w:t>LLC)</w:t>
        <w:tab/>
        <w:t>and</w:t>
        <w:tab/>
        <w:t>402,066</w:t>
        <w:tab/>
        <w:t>shares</w:t>
        <w:tab/>
        <w:t>resulting</w:t>
        <w:tab/>
        <w:t>from</w:t>
        <w:tab/>
        <w:t>estimated</w:t>
        <w:tab/>
        <w:t>stock</w:t>
        <w:tab/>
        <w:t>option</w:t>
        <w:tab/>
        <w:t>exercises</w:t>
        <w:tab/>
        <w:t>and</w:t>
        <w:tab/>
        <w:t>restricted</w:t>
        <w:tab/>
        <w:t>stock</w:t>
        <w:tab/>
        <w:t>units</w:t>
        <w:tab/>
        <w:t>vesting</w:t>
        <w:tab/>
        <w:t>as</w:t>
        <w:tab/>
        <w:t>calculated</w:t>
        <w:tab/>
        <w:t>by</w:t>
        <w:tab/>
        <w:t xml:space="preserve"> the</w:t>
        <w:tab/>
        <w:t>treasury</w:t>
        <w:tab/>
        <w:t>stock</w:t>
        <w:tab/>
        <w:t>method. • For</w:t>
        <w:tab/>
        <w:t>the</w:t>
        <w:tab/>
        <w:t>three</w:t>
        <w:tab/>
        <w:t>months</w:t>
        <w:tab/>
        <w:t>ended</w:t>
        <w:tab/>
        <w:t>December</w:t>
        <w:tab/>
        <w:t>31,</w:t>
        <w:tab/>
        <w:t>2025,</w:t>
        <w:tab/>
        <w:t>adjusted</w:t>
        <w:tab/>
        <w:t>weighted</w:t>
        <w:tab/>
        <w:t>average</w:t>
        <w:tab/>
        <w:t>shares</w:t>
        <w:tab/>
        <w:t>of</w:t>
        <w:tab/>
        <w:t>adjusted</w:t>
        <w:tab/>
        <w:t>diluted</w:t>
        <w:tab/>
        <w:t>Class</w:t>
        <w:tab/>
        <w:t>A</w:t>
        <w:tab/>
        <w:t>common</w:t>
        <w:tab/>
        <w:t>stock</w:t>
        <w:tab/>
        <w:t>outstanding</w:t>
        <w:tab/>
        <w:t>include</w:t>
        <w:tab/>
        <w:t>8,381,681</w:t>
        <w:tab/>
        <w:t>weighted</w:t>
        <w:tab/>
        <w:t xml:space="preserve"> average</w:t>
        <w:tab/>
        <w:t>outstanding</w:t>
        <w:tab/>
        <w:t>shares</w:t>
        <w:tab/>
        <w:t>of</w:t>
        <w:tab/>
        <w:t>Class</w:t>
        <w:tab/>
        <w:t>B</w:t>
        <w:tab/>
        <w:t>common</w:t>
        <w:tab/>
        <w:t>stock</w:t>
        <w:tab/>
        <w:t>(which</w:t>
        <w:tab/>
        <w:t>can</w:t>
        <w:tab/>
        <w:t>be</w:t>
        <w:tab/>
        <w:t>converted</w:t>
        <w:tab/>
        <w:t>into</w:t>
        <w:tab/>
        <w:t>Class</w:t>
        <w:tab/>
        <w:t>A</w:t>
        <w:tab/>
        <w:t>common</w:t>
        <w:tab/>
        <w:t>stock</w:t>
        <w:tab/>
        <w:t>upon</w:t>
        <w:tab/>
        <w:t>the</w:t>
        <w:tab/>
        <w:t>exchange</w:t>
        <w:tab/>
        <w:t>of</w:t>
        <w:tab/>
        <w:t>the</w:t>
        <w:tab/>
        <w:t>Class</w:t>
        <w:tab/>
        <w:t>B</w:t>
        <w:tab/>
        <w:t>common</w:t>
        <w:tab/>
        <w:t>stock</w:t>
        <w:tab/>
        <w:t>and</w:t>
        <w:tab/>
        <w:t>the</w:t>
        <w:tab/>
        <w:t xml:space="preserve"> associated</w:t>
        <w:tab/>
        <w:t>Common</w:t>
        <w:tab/>
        <w:t>Units</w:t>
        <w:tab/>
        <w:t>in</w:t>
        <w:tab/>
        <w:t>i3</w:t>
        <w:tab/>
        <w:t>Verticals,</w:t>
        <w:tab/>
        <w:t>LLC)</w:t>
        <w:tab/>
        <w:t>and</w:t>
        <w:tab/>
        <w:t>1,416,679</w:t>
        <w:tab/>
        <w:t>shares</w:t>
        <w:tab/>
        <w:t>resulting</w:t>
        <w:tab/>
        <w:t>from</w:t>
        <w:tab/>
        <w:t>estimated</w:t>
        <w:tab/>
        <w:t>stock</w:t>
        <w:tab/>
        <w:t>option</w:t>
        <w:tab/>
        <w:t>exercises</w:t>
        <w:tab/>
        <w:t>and</w:t>
        <w:tab/>
        <w:t>restricted</w:t>
        <w:tab/>
        <w:t>stock</w:t>
        <w:tab/>
        <w:t>units</w:t>
        <w:tab/>
        <w:t>vesting</w:t>
        <w:tab/>
        <w:t>as</w:t>
        <w:tab/>
        <w:t>calculated</w:t>
        <w:tab/>
        <w:t>by</w:t>
        <w:tab/>
        <w:t xml:space="preserve"> the</w:t>
        <w:tab/>
        <w:t>treasury</w:t>
        <w:tab/>
        <w:t>stock</w:t>
        <w:tab/>
        <w:t>method. • For</w:t>
        <w:tab/>
        <w:t>the</w:t>
        <w:tab/>
        <w:t>three</w:t>
        <w:tab/>
        <w:t>months</w:t>
        <w:tab/>
        <w:t>ended</w:t>
        <w:tab/>
        <w:t>September</w:t>
        <w:tab/>
        <w:t>30,</w:t>
        <w:tab/>
        <w:t>2025,</w:t>
        <w:tab/>
        <w:t>adjusted</w:t>
        <w:tab/>
        <w:t>weighted</w:t>
        <w:tab/>
        <w:t>average</w:t>
        <w:tab/>
        <w:t>shares</w:t>
        <w:tab/>
        <w:t>of</w:t>
        <w:tab/>
        <w:t>adjusted</w:t>
        <w:tab/>
        <w:t>diluted</w:t>
        <w:tab/>
        <w:t>Class</w:t>
        <w:tab/>
        <w:t>A</w:t>
        <w:tab/>
        <w:t>common</w:t>
        <w:tab/>
        <w:t>stock</w:t>
        <w:tab/>
        <w:t>outstanding</w:t>
        <w:tab/>
        <w:t>include</w:t>
        <w:tab/>
        <w:t>8,388,470</w:t>
        <w:tab/>
        <w:t xml:space="preserve"> weighted</w:t>
        <w:tab/>
        <w:t>average</w:t>
        <w:tab/>
        <w:t>outstanding</w:t>
        <w:tab/>
        <w:t>shares</w:t>
        <w:tab/>
        <w:t>of</w:t>
        <w:tab/>
        <w:t>Class</w:t>
        <w:tab/>
        <w:t>B</w:t>
        <w:tab/>
        <w:t>common</w:t>
        <w:tab/>
        <w:t>stock</w:t>
        <w:tab/>
        <w:t>(which</w:t>
        <w:tab/>
        <w:t>can</w:t>
        <w:tab/>
        <w:t>be</w:t>
        <w:tab/>
        <w:t>converted</w:t>
        <w:tab/>
        <w:t>into</w:t>
        <w:tab/>
        <w:t>Class</w:t>
        <w:tab/>
        <w:t>A</w:t>
        <w:tab/>
        <w:t>common</w:t>
        <w:tab/>
        <w:t>stock</w:t>
        <w:tab/>
        <w:t>upon</w:t>
        <w:tab/>
        <w:t>the</w:t>
        <w:tab/>
        <w:t>exchange</w:t>
        <w:tab/>
        <w:t>of</w:t>
        <w:tab/>
        <w:t>the</w:t>
        <w:tab/>
        <w:t>Class</w:t>
        <w:tab/>
        <w:t>B</w:t>
        <w:tab/>
        <w:t>common</w:t>
        <w:tab/>
        <w:t>stock</w:t>
        <w:tab/>
        <w:t xml:space="preserve"> and</w:t>
        <w:tab/>
        <w:t>the</w:t>
        <w:tab/>
        <w:t>associated</w:t>
        <w:tab/>
        <w:t>Common</w:t>
        <w:tab/>
        <w:t>Units</w:t>
        <w:tab/>
        <w:t>in</w:t>
        <w:tab/>
        <w:t>i3</w:t>
        <w:tab/>
        <w:t>Verticals,</w:t>
        <w:tab/>
        <w:t>LLC)</w:t>
        <w:tab/>
        <w:t>and</w:t>
        <w:tab/>
        <w:t>1,911,108</w:t>
        <w:tab/>
        <w:t>shares</w:t>
        <w:tab/>
        <w:t>resulting</w:t>
        <w:tab/>
        <w:t>from</w:t>
        <w:tab/>
        <w:t>estimated</w:t>
        <w:tab/>
        <w:t>stock</w:t>
        <w:tab/>
        <w:t>option</w:t>
        <w:tab/>
        <w:t>exercises</w:t>
        <w:tab/>
        <w:t>and</w:t>
        <w:tab/>
        <w:t>restricted</w:t>
        <w:tab/>
        <w:t>stock</w:t>
        <w:tab/>
        <w:t>units</w:t>
        <w:tab/>
        <w:t>vesting</w:t>
        <w:tab/>
        <w:t>as</w:t>
        <w:tab/>
        <w:t xml:space="preserve"> calculated</w:t>
        <w:tab/>
        <w:t>by</w:t>
        <w:tab/>
        <w:t>the</w:t>
        <w:tab/>
        <w:t>treasury</w:t>
        <w:tab/>
        <w:t>stock</w:t>
        <w:tab/>
        <w:t>method. • For</w:t>
        <w:tab/>
        <w:t>the</w:t>
        <w:tab/>
        <w:t>three</w:t>
        <w:tab/>
        <w:t>months</w:t>
        <w:tab/>
        <w:t>ended</w:t>
        <w:tab/>
        <w:t>June</w:t>
        <w:tab/>
        <w:t>30,</w:t>
        <w:tab/>
        <w:t>2025,</w:t>
        <w:tab/>
        <w:t>adjusted</w:t>
        <w:tab/>
        <w:t>weighted</w:t>
        <w:tab/>
        <w:t>average</w:t>
        <w:tab/>
        <w:t>shares</w:t>
        <w:tab/>
        <w:t>of</w:t>
        <w:tab/>
        <w:t>adjusted</w:t>
        <w:tab/>
        <w:t>diluted</w:t>
        <w:tab/>
        <w:t>Class</w:t>
        <w:tab/>
        <w:t>A</w:t>
        <w:tab/>
        <w:t>common</w:t>
        <w:tab/>
        <w:t>stock</w:t>
        <w:tab/>
        <w:t>outstanding</w:t>
        <w:tab/>
        <w:t>include</w:t>
        <w:tab/>
        <w:t>8,637,499</w:t>
        <w:tab/>
        <w:t>weighted</w:t>
        <w:tab/>
        <w:t xml:space="preserve"> average</w:t>
        <w:tab/>
        <w:t>outstanding</w:t>
        <w:tab/>
        <w:t>shares</w:t>
        <w:tab/>
        <w:t>of</w:t>
        <w:tab/>
        <w:t>Class</w:t>
        <w:tab/>
        <w:t>B</w:t>
        <w:tab/>
        <w:t>common</w:t>
        <w:tab/>
        <w:t>stock</w:t>
        <w:tab/>
        <w:t>(which</w:t>
        <w:tab/>
        <w:t>can</w:t>
        <w:tab/>
        <w:t>be</w:t>
        <w:tab/>
        <w:t>converted</w:t>
        <w:tab/>
        <w:t>into</w:t>
        <w:tab/>
        <w:t>Class</w:t>
        <w:tab/>
        <w:t>A</w:t>
        <w:tab/>
        <w:t>common</w:t>
        <w:tab/>
        <w:t>stock</w:t>
        <w:tab/>
        <w:t>upon</w:t>
        <w:tab/>
        <w:t>the</w:t>
        <w:tab/>
        <w:t>exchange</w:t>
        <w:tab/>
        <w:t>of</w:t>
        <w:tab/>
        <w:t>the</w:t>
        <w:tab/>
        <w:t>Class</w:t>
        <w:tab/>
        <w:t>B</w:t>
        <w:tab/>
        <w:t>common</w:t>
        <w:tab/>
        <w:t>stock</w:t>
        <w:tab/>
        <w:t>and</w:t>
        <w:tab/>
        <w:t>the</w:t>
        <w:tab/>
        <w:t xml:space="preserve"> associated</w:t>
        <w:tab/>
        <w:t>Common</w:t>
        <w:tab/>
        <w:t>Units</w:t>
        <w:tab/>
        <w:t>in</w:t>
        <w:tab/>
        <w:t>i3</w:t>
        <w:tab/>
        <w:t>Verticals,</w:t>
        <w:tab/>
        <w:t>LLC)</w:t>
        <w:tab/>
        <w:t>and</w:t>
        <w:tab/>
        <w:t>952,796</w:t>
        <w:tab/>
        <w:t>shares</w:t>
        <w:tab/>
        <w:t>resulting</w:t>
        <w:tab/>
        <w:t>from</w:t>
        <w:tab/>
        <w:t>estimated</w:t>
        <w:tab/>
        <w:t>stock</w:t>
        <w:tab/>
        <w:t>option</w:t>
        <w:tab/>
        <w:t>exercises</w:t>
        <w:tab/>
        <w:t>and</w:t>
        <w:tab/>
        <w:t>restricted</w:t>
        <w:tab/>
        <w:t>stock</w:t>
        <w:tab/>
        <w:t>units</w:t>
        <w:tab/>
        <w:t>vesting</w:t>
        <w:tab/>
        <w:t>as</w:t>
        <w:tab/>
        <w:t>calculated</w:t>
        <w:tab/>
        <w:t>by</w:t>
        <w:tab/>
        <w:t xml:space="preserve"> the</w:t>
        <w:tab/>
        <w:t>treasury</w:t>
        <w:tab/>
        <w:t>stock</w:t>
        <w:tab/>
        <w:t>method. • For</w:t>
        <w:tab/>
        <w:t>the</w:t>
        <w:tab/>
        <w:t>three</w:t>
        <w:tab/>
        <w:t>months</w:t>
        <w:tab/>
        <w:t>ended</w:t>
        <w:tab/>
        <w:t>March</w:t>
        <w:tab/>
        <w:t>31,</w:t>
        <w:tab/>
        <w:t>2025,</w:t>
        <w:tab/>
        <w:t>adjusted</w:t>
        <w:tab/>
        <w:t>weighted</w:t>
        <w:tab/>
        <w:t>average</w:t>
        <w:tab/>
        <w:t>shares</w:t>
        <w:tab/>
        <w:t>of</w:t>
        <w:tab/>
        <w:t>adjusted</w:t>
        <w:tab/>
        <w:t>diluted</w:t>
        <w:tab/>
        <w:t>Class</w:t>
        <w:tab/>
        <w:t>A</w:t>
        <w:tab/>
        <w:t>common</w:t>
        <w:tab/>
        <w:t>stock</w:t>
        <w:tab/>
        <w:t>outstanding</w:t>
        <w:tab/>
        <w:t>include</w:t>
        <w:tab/>
        <w:t>9,408,427</w:t>
        <w:tab/>
        <w:t>weighted</w:t>
        <w:tab/>
        <w:t xml:space="preserve"> average</w:t>
        <w:tab/>
        <w:t>outstanding</w:t>
        <w:tab/>
        <w:t>shares</w:t>
        <w:tab/>
        <w:t>of</w:t>
        <w:tab/>
        <w:t>Class</w:t>
        <w:tab/>
        <w:t>B</w:t>
        <w:tab/>
        <w:t>common</w:t>
        <w:tab/>
        <w:t>stock</w:t>
        <w:tab/>
        <w:t>(which</w:t>
        <w:tab/>
        <w:t>can</w:t>
        <w:tab/>
        <w:t>be</w:t>
        <w:tab/>
        <w:t>converted</w:t>
        <w:tab/>
        <w:t>into</w:t>
        <w:tab/>
        <w:t>Class</w:t>
        <w:tab/>
        <w:t>A</w:t>
        <w:tab/>
        <w:t>common</w:t>
        <w:tab/>
        <w:t>stock</w:t>
        <w:tab/>
        <w:t>upon</w:t>
        <w:tab/>
        <w:t>the</w:t>
        <w:tab/>
        <w:t>exchange</w:t>
        <w:tab/>
        <w:t>of</w:t>
        <w:tab/>
        <w:t>the</w:t>
        <w:tab/>
        <w:t>Class</w:t>
        <w:tab/>
        <w:t>B</w:t>
        <w:tab/>
        <w:t>common</w:t>
        <w:tab/>
        <w:t>stock</w:t>
        <w:tab/>
        <w:t>and</w:t>
        <w:tab/>
        <w:t>the</w:t>
        <w:tab/>
        <w:t xml:space="preserve"> associated</w:t>
        <w:tab/>
        <w:t>Common</w:t>
        <w:tab/>
        <w:t>Units</w:t>
        <w:tab/>
        <w:t>in</w:t>
        <w:tab/>
        <w:t>i3</w:t>
        <w:tab/>
        <w:t>Verticals,</w:t>
        <w:tab/>
        <w:t>LLC)</w:t>
        <w:tab/>
        <w:t>and</w:t>
        <w:tab/>
        <w:t>299,505</w:t>
        <w:tab/>
        <w:t>shares</w:t>
        <w:tab/>
        <w:t>resulting</w:t>
        <w:tab/>
        <w:t>from</w:t>
        <w:tab/>
        <w:t>estimated</w:t>
        <w:tab/>
        <w:t>stock</w:t>
        <w:tab/>
        <w:t>option</w:t>
        <w:tab/>
        <w:t>exercises</w:t>
        <w:tab/>
        <w:t>and</w:t>
        <w:tab/>
        <w:t>restricted</w:t>
        <w:tab/>
        <w:t>stock</w:t>
        <w:tab/>
        <w:t>units</w:t>
        <w:tab/>
        <w:t>vesting</w:t>
        <w:tab/>
        <w:t>as</w:t>
        <w:tab/>
        <w:t>calculated</w:t>
        <w:tab/>
        <w:t>by</w:t>
        <w:tab/>
        <w:t xml:space="preserve"> the</w:t>
        <w:tab/>
        <w:t>treasury</w:t>
        <w:tab/>
        <w:t>stock</w:t>
        <w:tab/>
        <w:t>method. • For</w:t>
        <w:tab/>
        <w:t>the</w:t>
        <w:tab/>
        <w:t>three</w:t>
        <w:tab/>
        <w:t>months</w:t>
        <w:tab/>
        <w:t>ended</w:t>
        <w:tab/>
        <w:t>December</w:t>
        <w:tab/>
        <w:t>31,</w:t>
        <w:tab/>
        <w:t>2024,</w:t>
        <w:tab/>
        <w:t>adjusted</w:t>
        <w:tab/>
        <w:t>weighted</w:t>
        <w:tab/>
        <w:t>average</w:t>
        <w:tab/>
        <w:t>shares</w:t>
        <w:tab/>
        <w:t>of</w:t>
        <w:tab/>
        <w:t>adjusted</w:t>
        <w:tab/>
        <w:t>diluted</w:t>
        <w:tab/>
        <w:t>Class</w:t>
        <w:tab/>
        <w:t>A</w:t>
        <w:tab/>
        <w:t>common</w:t>
        <w:tab/>
        <w:t>stock</w:t>
        <w:tab/>
        <w:t>outstanding</w:t>
        <w:tab/>
        <w:t>include</w:t>
        <w:tab/>
        <w:t>10,026,180</w:t>
        <w:tab/>
        <w:t xml:space="preserve"> weighted</w:t>
        <w:tab/>
        <w:t>average</w:t>
        <w:tab/>
        <w:t>outstanding</w:t>
        <w:tab/>
        <w:t>shares</w:t>
        <w:tab/>
        <w:t>of</w:t>
        <w:tab/>
        <w:t>Class</w:t>
        <w:tab/>
        <w:t>B</w:t>
        <w:tab/>
        <w:t>common</w:t>
        <w:tab/>
        <w:t>stock</w:t>
        <w:tab/>
        <w:t>(which</w:t>
        <w:tab/>
        <w:t>can</w:t>
        <w:tab/>
        <w:t>be</w:t>
        <w:tab/>
        <w:t>converted</w:t>
        <w:tab/>
        <w:t>into</w:t>
        <w:tab/>
        <w:t>Class</w:t>
        <w:tab/>
        <w:t>A</w:t>
        <w:tab/>
        <w:t>common</w:t>
        <w:tab/>
        <w:t>stock</w:t>
        <w:tab/>
        <w:t>upon</w:t>
        <w:tab/>
        <w:t>the</w:t>
        <w:tab/>
        <w:t>exchange</w:t>
        <w:tab/>
        <w:t>of</w:t>
        <w:tab/>
        <w:t>the</w:t>
        <w:tab/>
        <w:t>Class</w:t>
        <w:tab/>
        <w:t>B</w:t>
        <w:tab/>
        <w:t>common</w:t>
        <w:tab/>
        <w:t>stock</w:t>
        <w:tab/>
        <w:t xml:space="preserve"> and</w:t>
        <w:tab/>
        <w:t>the</w:t>
        <w:tab/>
        <w:t>associated</w:t>
        <w:tab/>
        <w:t>Common</w:t>
        <w:tab/>
        <w:t>Units</w:t>
        <w:tab/>
        <w:t>in</w:t>
        <w:tab/>
        <w:t>i3</w:t>
        <w:tab/>
        <w:t>Verticals,</w:t>
        <w:tab/>
        <w:t>LLC)</w:t>
        <w:tab/>
        <w:t>and</w:t>
        <w:tab/>
        <w:t>479,664</w:t>
        <w:tab/>
        <w:t>shares</w:t>
        <w:tab/>
        <w:t>resulting</w:t>
        <w:tab/>
        <w:t>from</w:t>
        <w:tab/>
        <w:t>estimated</w:t>
        <w:tab/>
        <w:t>stock</w:t>
        <w:tab/>
        <w:t>option</w:t>
        <w:tab/>
        <w:t>exercises</w:t>
        <w:tab/>
        <w:t>and</w:t>
        <w:tab/>
        <w:t>restricted</w:t>
        <w:tab/>
        <w:t>stock</w:t>
        <w:tab/>
        <w:t>units</w:t>
        <w:tab/>
        <w:t>vesting</w:t>
        <w:tab/>
        <w:t>as</w:t>
        <w:tab/>
        <w:t xml:space="preserve"> calculated</w:t>
        <w:tab/>
        <w:t>by</w:t>
        <w:tab/>
        <w:t>the</w:t>
        <w:tab/>
        <w:t>treasury</w:t>
        <w:tab/>
        <w:t>stock</w:t>
        <w:tab/>
        <w:t xml:space="preserve">method. Reconciliation of Non-GAAP Financial Measures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8852</Words>
  <Characters>51073</Characters>
  <CharactersWithSpaces>60511</CharactersWithSpaces>
  <Paragraphs>769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supplementalpresentation</dc:title>
</cp:coreProperties>
</file>