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384"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8"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3305175</wp:posOffset>
            </wp:positionH>
            <wp:positionV relativeFrom="paragraph">
              <wp:posOffset>270510</wp:posOffset>
            </wp:positionV>
            <wp:extent cx="53149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149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i3 Verticals, Inc.</w:t>
      </w:r>
    </w:p>
    <w:p>
      <w:pPr>
        <w:spacing w:after="0" w:line="6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tbl>
      <w:tblPr>
        <w:tblLayout w:type="fixed"/>
        <w:tblInd w:w="1260" w:type="dxa"/>
        <w:tblCellMar>
          <w:top w:w="0" w:type="dxa"/>
          <w:left w:w="0" w:type="dxa"/>
          <w:bottom w:w="0" w:type="dxa"/>
          <w:right w:w="0" w:type="dxa"/>
        </w:tblCellMar>
      </w:tblPr>
      <w:tr>
        <w:trPr>
          <w:trHeight w:val="190"/>
        </w:trPr>
        <w:tc>
          <w:tcPr>
            <w:tcW w:w="140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380" w:type="dxa"/>
            <w:vAlign w:val="bottom"/>
          </w:tcPr>
          <w:p>
            <w:pPr>
              <w:ind w:left="2740"/>
              <w:spacing w:after="0"/>
              <w:rPr>
                <w:sz w:val="20"/>
                <w:szCs w:val="20"/>
                <w:color w:val="auto"/>
              </w:rPr>
            </w:pPr>
            <w:r>
              <w:rPr>
                <w:rFonts w:ascii="Times New Roman" w:cs="Times New Roman" w:eastAsia="Times New Roman" w:hAnsi="Times New Roman"/>
                <w:sz w:val="14"/>
                <w:szCs w:val="14"/>
                <w:b w:val="1"/>
                <w:bCs w:val="1"/>
                <w:color w:val="auto"/>
              </w:rPr>
              <w:t>001-38532</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82-4052852</w:t>
            </w:r>
          </w:p>
        </w:tc>
      </w:tr>
      <w:tr>
        <w:trPr>
          <w:trHeight w:val="131"/>
        </w:trPr>
        <w:tc>
          <w:tcPr>
            <w:tcW w:w="1400" w:type="dxa"/>
            <w:vAlign w:val="bottom"/>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(State or Other Jurisdiction</w:t>
            </w:r>
          </w:p>
        </w:tc>
        <w:tc>
          <w:tcPr>
            <w:tcW w:w="5380" w:type="dxa"/>
            <w:vAlign w:val="bottom"/>
          </w:tcPr>
          <w:p>
            <w:pPr>
              <w:ind w:left="2760"/>
              <w:spacing w:after="0"/>
              <w:rPr>
                <w:sz w:val="20"/>
                <w:szCs w:val="20"/>
                <w:color w:val="auto"/>
              </w:rPr>
            </w:pPr>
            <w:r>
              <w:rPr>
                <w:rFonts w:ascii="Times New Roman" w:cs="Times New Roman" w:eastAsia="Times New Roman" w:hAnsi="Times New Roman"/>
                <w:sz w:val="11"/>
                <w:szCs w:val="11"/>
                <w:b w:val="1"/>
                <w:bCs w:val="1"/>
                <w:color w:val="auto"/>
              </w:rPr>
              <w:t>(Commission</w:t>
            </w:r>
          </w:p>
        </w:tc>
        <w:tc>
          <w:tcPr>
            <w:tcW w:w="1820" w:type="dxa"/>
            <w:vAlign w:val="bottom"/>
          </w:tcPr>
          <w:p>
            <w:pPr>
              <w:jc w:val="center"/>
              <w:ind w:left="939"/>
              <w:spacing w:after="0"/>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1400" w:type="dxa"/>
            <w:vAlign w:val="bottom"/>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of Incorporation)</w:t>
            </w:r>
          </w:p>
        </w:tc>
        <w:tc>
          <w:tcPr>
            <w:tcW w:w="5380" w:type="dxa"/>
            <w:vAlign w:val="bottom"/>
          </w:tcPr>
          <w:p>
            <w:pPr>
              <w:ind w:left="2740"/>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1820" w:type="dxa"/>
            <w:vAlign w:val="bottom"/>
          </w:tcPr>
          <w:p>
            <w:pPr>
              <w:jc w:val="center"/>
              <w:ind w:left="919"/>
              <w:spacing w:after="0"/>
              <w:rPr>
                <w:sz w:val="20"/>
                <w:szCs w:val="20"/>
                <w:color w:val="auto"/>
              </w:rPr>
            </w:pPr>
            <w:r>
              <w:rPr>
                <w:rFonts w:ascii="Times New Roman" w:cs="Times New Roman" w:eastAsia="Times New Roman" w:hAnsi="Times New Roman"/>
                <w:sz w:val="11"/>
                <w:szCs w:val="11"/>
                <w:b w:val="1"/>
                <w:bCs w:val="1"/>
                <w:color w:val="auto"/>
                <w:w w:val="97"/>
              </w:rPr>
              <w:t>Identification No.)</w:t>
            </w:r>
          </w:p>
        </w:tc>
      </w:tr>
      <w:tr>
        <w:trPr>
          <w:trHeight w:val="333"/>
        </w:trPr>
        <w:tc>
          <w:tcPr>
            <w:tcW w:w="1400" w:type="dxa"/>
            <w:vAlign w:val="bottom"/>
          </w:tcPr>
          <w:p>
            <w:pPr>
              <w:spacing w:after="0"/>
              <w:rPr>
                <w:sz w:val="24"/>
                <w:szCs w:val="24"/>
                <w:color w:val="auto"/>
              </w:rPr>
            </w:pPr>
          </w:p>
        </w:tc>
        <w:tc>
          <w:tcPr>
            <w:tcW w:w="5380" w:type="dxa"/>
            <w:vAlign w:val="bottom"/>
          </w:tcPr>
          <w:p>
            <w:pPr>
              <w:jc w:val="center"/>
              <w:ind w:right="3097"/>
              <w:spacing w:after="0"/>
              <w:rPr>
                <w:sz w:val="20"/>
                <w:szCs w:val="20"/>
                <w:color w:val="auto"/>
              </w:rPr>
            </w:pPr>
            <w:r>
              <w:rPr>
                <w:rFonts w:ascii="Times New Roman" w:cs="Times New Roman" w:eastAsia="Times New Roman" w:hAnsi="Times New Roman"/>
                <w:sz w:val="14"/>
                <w:szCs w:val="14"/>
                <w:b w:val="1"/>
                <w:bCs w:val="1"/>
                <w:color w:val="auto"/>
              </w:rPr>
              <w:t>40 Burton Hills Blvd., Suite 415</w:t>
            </w:r>
          </w:p>
        </w:tc>
        <w:tc>
          <w:tcPr>
            <w:tcW w:w="1820" w:type="dxa"/>
            <w:vAlign w:val="bottom"/>
          </w:tcPr>
          <w:p>
            <w:pPr>
              <w:spacing w:after="0"/>
              <w:rPr>
                <w:sz w:val="24"/>
                <w:szCs w:val="24"/>
                <w:color w:val="auto"/>
              </w:rPr>
            </w:pPr>
          </w:p>
        </w:tc>
      </w:tr>
      <w:tr>
        <w:trPr>
          <w:trHeight w:val="204"/>
        </w:trPr>
        <w:tc>
          <w:tcPr>
            <w:tcW w:w="1400" w:type="dxa"/>
            <w:vAlign w:val="bottom"/>
          </w:tcPr>
          <w:p>
            <w:pPr>
              <w:spacing w:after="0"/>
              <w:rPr>
                <w:sz w:val="17"/>
                <w:szCs w:val="17"/>
                <w:color w:val="auto"/>
              </w:rPr>
            </w:pPr>
          </w:p>
        </w:tc>
        <w:tc>
          <w:tcPr>
            <w:tcW w:w="5380" w:type="dxa"/>
            <w:vAlign w:val="bottom"/>
          </w:tcPr>
          <w:p>
            <w:pPr>
              <w:jc w:val="center"/>
              <w:ind w:right="3117"/>
              <w:spacing w:after="0"/>
              <w:rPr>
                <w:sz w:val="20"/>
                <w:szCs w:val="20"/>
                <w:color w:val="auto"/>
              </w:rPr>
            </w:pPr>
            <w:r>
              <w:rPr>
                <w:rFonts w:ascii="Times New Roman" w:cs="Times New Roman" w:eastAsia="Times New Roman" w:hAnsi="Times New Roman"/>
                <w:sz w:val="14"/>
                <w:szCs w:val="14"/>
                <w:b w:val="1"/>
                <w:bCs w:val="1"/>
                <w:color w:val="auto"/>
              </w:rPr>
              <w:t>Nashville, TN</w:t>
            </w:r>
          </w:p>
        </w:tc>
        <w:tc>
          <w:tcPr>
            <w:tcW w:w="18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37215</w:t>
            </w:r>
          </w:p>
        </w:tc>
      </w:tr>
      <w:tr>
        <w:trPr>
          <w:trHeight w:val="163"/>
        </w:trPr>
        <w:tc>
          <w:tcPr>
            <w:tcW w:w="1400" w:type="dxa"/>
            <w:vAlign w:val="bottom"/>
          </w:tcPr>
          <w:p>
            <w:pPr>
              <w:spacing w:after="0"/>
              <w:rPr>
                <w:sz w:val="14"/>
                <w:szCs w:val="14"/>
                <w:color w:val="auto"/>
              </w:rPr>
            </w:pPr>
          </w:p>
        </w:tc>
        <w:tc>
          <w:tcPr>
            <w:tcW w:w="5380" w:type="dxa"/>
            <w:vAlign w:val="bottom"/>
          </w:tcPr>
          <w:p>
            <w:pPr>
              <w:jc w:val="center"/>
              <w:ind w:right="3117"/>
              <w:spacing w:after="0"/>
              <w:rPr>
                <w:sz w:val="20"/>
                <w:szCs w:val="20"/>
                <w:color w:val="auto"/>
              </w:rPr>
            </w:pPr>
            <w:r>
              <w:rPr>
                <w:rFonts w:ascii="Times New Roman" w:cs="Times New Roman" w:eastAsia="Times New Roman" w:hAnsi="Times New Roman"/>
                <w:sz w:val="11"/>
                <w:szCs w:val="11"/>
                <w:b w:val="1"/>
                <w:bCs w:val="1"/>
                <w:color w:val="auto"/>
                <w:w w:val="98"/>
              </w:rPr>
              <w:t>(Address of principal executive offices)</w:t>
            </w:r>
          </w:p>
        </w:tc>
        <w:tc>
          <w:tcPr>
            <w:tcW w:w="1820" w:type="dxa"/>
            <w:vAlign w:val="bottom"/>
          </w:tcPr>
          <w:p>
            <w:pPr>
              <w:jc w:val="center"/>
              <w:ind w:left="939"/>
              <w:spacing w:after="0"/>
              <w:rPr>
                <w:sz w:val="20"/>
                <w:szCs w:val="20"/>
                <w:color w:val="auto"/>
              </w:rPr>
            </w:pPr>
            <w:r>
              <w:rPr>
                <w:rFonts w:ascii="Times New Roman" w:cs="Times New Roman" w:eastAsia="Times New Roman" w:hAnsi="Times New Roman"/>
                <w:sz w:val="11"/>
                <w:szCs w:val="11"/>
                <w:b w:val="1"/>
                <w:bCs w:val="1"/>
                <w:color w:val="auto"/>
                <w:w w:val="97"/>
              </w:rPr>
              <w:t>(Zip Code)</w:t>
            </w:r>
          </w:p>
        </w:tc>
      </w:tr>
      <w:tr>
        <w:trPr>
          <w:trHeight w:val="479"/>
        </w:trPr>
        <w:tc>
          <w:tcPr>
            <w:tcW w:w="1400" w:type="dxa"/>
            <w:vAlign w:val="bottom"/>
          </w:tcPr>
          <w:p>
            <w:pPr>
              <w:spacing w:after="0"/>
              <w:rPr>
                <w:sz w:val="24"/>
                <w:szCs w:val="24"/>
                <w:color w:val="auto"/>
              </w:rPr>
            </w:pPr>
          </w:p>
        </w:tc>
        <w:tc>
          <w:tcPr>
            <w:tcW w:w="5380" w:type="dxa"/>
            <w:vAlign w:val="bottom"/>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(615) 465-4487</w:t>
            </w:r>
          </w:p>
        </w:tc>
        <w:tc>
          <w:tcPr>
            <w:tcW w:w="1820" w:type="dxa"/>
            <w:vAlign w:val="bottom"/>
          </w:tcPr>
          <w:p>
            <w:pPr>
              <w:spacing w:after="0"/>
              <w:rPr>
                <w:sz w:val="24"/>
                <w:szCs w:val="24"/>
                <w:color w:val="auto"/>
              </w:rPr>
            </w:pPr>
          </w:p>
        </w:tc>
      </w:tr>
      <w:tr>
        <w:trPr>
          <w:trHeight w:val="142"/>
        </w:trPr>
        <w:tc>
          <w:tcPr>
            <w:tcW w:w="1400" w:type="dxa"/>
            <w:vAlign w:val="bottom"/>
          </w:tcPr>
          <w:p>
            <w:pPr>
              <w:spacing w:after="0"/>
              <w:rPr>
                <w:sz w:val="12"/>
                <w:szCs w:val="12"/>
                <w:color w:val="auto"/>
              </w:rPr>
            </w:pPr>
          </w:p>
        </w:tc>
        <w:tc>
          <w:tcPr>
            <w:tcW w:w="5380" w:type="dxa"/>
            <w:vAlign w:val="bottom"/>
          </w:tcPr>
          <w:p>
            <w:pPr>
              <w:jc w:val="center"/>
              <w:ind w:left="477"/>
              <w:spacing w:after="0"/>
              <w:rPr>
                <w:sz w:val="20"/>
                <w:szCs w:val="20"/>
                <w:color w:val="auto"/>
              </w:rPr>
            </w:pPr>
            <w:r>
              <w:rPr>
                <w:rFonts w:ascii="Times New Roman" w:cs="Times New Roman" w:eastAsia="Times New Roman" w:hAnsi="Times New Roman"/>
                <w:sz w:val="11"/>
                <w:szCs w:val="11"/>
                <w:b w:val="1"/>
                <w:bCs w:val="1"/>
                <w:color w:val="auto"/>
                <w:w w:val="97"/>
              </w:rPr>
              <w:t>(Registrant’s telephone number, including area code)</w:t>
            </w:r>
          </w:p>
        </w:tc>
        <w:tc>
          <w:tcPr>
            <w:tcW w:w="1820" w:type="dxa"/>
            <w:vAlign w:val="bottom"/>
          </w:tcPr>
          <w:p>
            <w:pPr>
              <w:spacing w:after="0"/>
              <w:rPr>
                <w:sz w:val="12"/>
                <w:szCs w:val="12"/>
                <w:color w:val="auto"/>
              </w:rPr>
            </w:pPr>
          </w:p>
        </w:tc>
      </w:tr>
      <w:tr>
        <w:trPr>
          <w:trHeight w:val="411"/>
        </w:trPr>
        <w:tc>
          <w:tcPr>
            <w:tcW w:w="1400" w:type="dxa"/>
            <w:vAlign w:val="bottom"/>
          </w:tcPr>
          <w:p>
            <w:pPr>
              <w:spacing w:after="0"/>
              <w:rPr>
                <w:sz w:val="24"/>
                <w:szCs w:val="24"/>
                <w:color w:val="auto"/>
              </w:rPr>
            </w:pPr>
          </w:p>
        </w:tc>
        <w:tc>
          <w:tcPr>
            <w:tcW w:w="5380" w:type="dxa"/>
            <w:vAlign w:val="bottom"/>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1820" w:type="dxa"/>
            <w:vAlign w:val="bottom"/>
          </w:tcPr>
          <w:p>
            <w:pPr>
              <w:spacing w:after="0"/>
              <w:rPr>
                <w:sz w:val="24"/>
                <w:szCs w:val="24"/>
                <w:color w:val="auto"/>
              </w:rPr>
            </w:pPr>
          </w:p>
        </w:tc>
      </w:tr>
      <w:tr>
        <w:trPr>
          <w:trHeight w:val="142"/>
        </w:trPr>
        <w:tc>
          <w:tcPr>
            <w:tcW w:w="1400" w:type="dxa"/>
            <w:vAlign w:val="bottom"/>
          </w:tcPr>
          <w:p>
            <w:pPr>
              <w:spacing w:after="0"/>
              <w:rPr>
                <w:sz w:val="12"/>
                <w:szCs w:val="12"/>
                <w:color w:val="auto"/>
              </w:rPr>
            </w:pPr>
          </w:p>
        </w:tc>
        <w:tc>
          <w:tcPr>
            <w:tcW w:w="5380" w:type="dxa"/>
            <w:vAlign w:val="bottom"/>
          </w:tcPr>
          <w:p>
            <w:pPr>
              <w:jc w:val="center"/>
              <w:ind w:left="497"/>
              <w:spacing w:after="0"/>
              <w:rPr>
                <w:sz w:val="20"/>
                <w:szCs w:val="20"/>
                <w:color w:val="auto"/>
              </w:rPr>
            </w:pPr>
            <w:r>
              <w:rPr>
                <w:rFonts w:ascii="Times New Roman" w:cs="Times New Roman" w:eastAsia="Times New Roman" w:hAnsi="Times New Roman"/>
                <w:sz w:val="11"/>
                <w:szCs w:val="11"/>
                <w:b w:val="1"/>
                <w:bCs w:val="1"/>
                <w:color w:val="auto"/>
                <w:w w:val="98"/>
              </w:rPr>
              <w:t>(Former name or former address, if changed since last report)</w:t>
            </w:r>
          </w:p>
        </w:tc>
        <w:tc>
          <w:tcPr>
            <w:tcW w:w="1820" w:type="dxa"/>
            <w:vAlign w:val="bottom"/>
          </w:tcPr>
          <w:p>
            <w:pPr>
              <w:spacing w:after="0"/>
              <w:rPr>
                <w:sz w:val="12"/>
                <w:szCs w:val="12"/>
                <w:color w:val="auto"/>
              </w:rPr>
            </w:pPr>
          </w:p>
        </w:tc>
      </w:tr>
    </w:tbl>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if the Form 8-K filing is intended to simultaneously satisfy the filing obligation of the registrant under any of the following provisions (see General Instruction A.2.</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42" w:lineRule="exact"/>
        <w:rPr>
          <w:sz w:val="24"/>
          <w:szCs w:val="24"/>
          <w:color w:val="auto"/>
        </w:rPr>
      </w:pPr>
    </w:p>
    <w:p>
      <w:pPr>
        <w:ind w:left="480" w:hanging="436"/>
        <w:spacing w:after="0"/>
        <w:tabs>
          <w:tab w:leader="none" w:pos="480" w:val="left"/>
        </w:tabs>
        <w:numPr>
          <w:ilvl w:val="1"/>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49" w:lineRule="exact"/>
        <w:rPr>
          <w:rFonts w:ascii="MS PGothic" w:cs="MS PGothic" w:eastAsia="MS PGothic" w:hAnsi="MS PGothic"/>
          <w:sz w:val="14"/>
          <w:szCs w:val="1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240.14d- 2(b))</w:t>
      </w:r>
    </w:p>
    <w:p>
      <w:pPr>
        <w:spacing w:after="0" w:line="163" w:lineRule="exact"/>
        <w:rPr>
          <w:rFonts w:ascii="MS PGothic" w:cs="MS PGothic" w:eastAsia="MS PGothic" w:hAnsi="MS PGothic"/>
          <w:sz w:val="14"/>
          <w:szCs w:val="1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240.13e- 4(c))</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185"/>
        </w:trPr>
        <w:tc>
          <w:tcPr>
            <w:tcW w:w="1420" w:type="dxa"/>
            <w:vAlign w:val="bottom"/>
          </w:tcPr>
          <w:p>
            <w:pPr>
              <w:spacing w:after="0"/>
              <w:rPr>
                <w:sz w:val="16"/>
                <w:szCs w:val="16"/>
                <w:color w:val="auto"/>
              </w:rPr>
            </w:pPr>
          </w:p>
        </w:tc>
        <w:tc>
          <w:tcPr>
            <w:tcW w:w="2560" w:type="dxa"/>
            <w:vAlign w:val="bottom"/>
            <w:gridSpan w:val="2"/>
          </w:tcPr>
          <w:p>
            <w:pPr>
              <w:jc w:val="center"/>
              <w:ind w:right="1520"/>
              <w:spacing w:after="0"/>
              <w:rPr>
                <w:sz w:val="20"/>
                <w:szCs w:val="20"/>
                <w:color w:val="auto"/>
              </w:rPr>
            </w:pPr>
            <w:r>
              <w:rPr>
                <w:rFonts w:ascii="Times New Roman" w:cs="Times New Roman" w:eastAsia="Times New Roman" w:hAnsi="Times New Roman"/>
                <w:sz w:val="14"/>
                <w:szCs w:val="14"/>
                <w:color w:val="auto"/>
              </w:rPr>
              <w:t>Title of each class</w:t>
            </w:r>
          </w:p>
        </w:tc>
        <w:tc>
          <w:tcPr>
            <w:tcW w:w="26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color w:val="auto"/>
              </w:rPr>
              <w:t>Trading Symbol(s)</w:t>
            </w:r>
          </w:p>
        </w:tc>
        <w:tc>
          <w:tcPr>
            <w:tcW w:w="3480" w:type="dxa"/>
            <w:vAlign w:val="bottom"/>
            <w:gridSpan w:val="2"/>
          </w:tcPr>
          <w:p>
            <w:pPr>
              <w:jc w:val="center"/>
              <w:ind w:left="84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r>
      <w:tr>
        <w:trPr>
          <w:trHeight w:val="213"/>
        </w:trPr>
        <w:tc>
          <w:tcPr>
            <w:tcW w:w="39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Class A Common Stock, $0.0001 Par Value</w:t>
            </w:r>
          </w:p>
        </w:tc>
        <w:tc>
          <w:tcPr>
            <w:tcW w:w="640" w:type="dxa"/>
            <w:vAlign w:val="bottom"/>
          </w:tcPr>
          <w:p>
            <w:pPr>
              <w:spacing w:after="0"/>
              <w:rPr>
                <w:sz w:val="18"/>
                <w:szCs w:val="18"/>
                <w:color w:val="auto"/>
              </w:rPr>
            </w:pPr>
          </w:p>
        </w:tc>
        <w:tc>
          <w:tcPr>
            <w:tcW w:w="202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color w:val="auto"/>
                <w:w w:val="99"/>
              </w:rPr>
              <w:t>IIIV</w:t>
            </w:r>
          </w:p>
        </w:tc>
        <w:tc>
          <w:tcPr>
            <w:tcW w:w="9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203" w:lineRule="exact"/>
        <w:rPr>
          <w:sz w:val="24"/>
          <w:szCs w:val="24"/>
          <w:color w:val="auto"/>
        </w:rPr>
      </w:pPr>
    </w:p>
    <w:p>
      <w:pPr>
        <w:ind w:right="34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 w:lineRule="exact"/>
        <w:rPr>
          <w:sz w:val="24"/>
          <w:szCs w:val="24"/>
          <w:color w:val="auto"/>
        </w:rPr>
      </w:pPr>
    </w:p>
    <w:p>
      <w:pPr>
        <w:jc w:val="right"/>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62" w:lineRule="exact"/>
        <w:rPr>
          <w:sz w:val="24"/>
          <w:szCs w:val="24"/>
          <w:color w:val="auto"/>
        </w:rPr>
      </w:pPr>
    </w:p>
    <w:p>
      <w:pPr>
        <w:ind w:right="560"/>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12, 2026, the Company’s Board of Directors approved a new share repurchase program for the Company’s Class A common stock, under which the Company may repurchase up to $100 million of outstanding shares of Class A common stock (exclusive of fees, commissions or other expenses related to such repurchases). This new share purchase program replaces the Company’s prior share repurchase program adopted on February 5, 2026, under which the maximum dollar amount under the authorization has been expended.</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This share repurchase program will terminate on the earlier of May 11, 2027, or when the maximum dollar amount under the authorization has been expended. Pursuant to this authorization, repurchases may be made from time to time in the open market, through privately negotiated transactions, or otherwise, including under Rule 10b5-1 plans. In addition, any repurchases under this share repurchase program will be subject to prevailing market conditions, liquidity and cash flow considerations, applicable securities laws requirements (including under Rule 10b-18 and Rule 10b5-1 of the Securities Exchange Act of 1934, as applicable), compliance with contractual restrictions under the Company’s credit facility, and other factors. This share repurchase program does not require the Company to acquire any particular amount of shares of Class A common stock, and may be extended, modified, suspended or discontinued at any time at the Company’s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890270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 w:name="page3"/>
    <w:bookmarkEnd w:id="2"/>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00"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12, 2026</w:t>
      </w:r>
    </w:p>
    <w:p>
      <w:pPr>
        <w:spacing w:after="0" w:line="200" w:lineRule="exact"/>
        <w:rPr>
          <w:sz w:val="20"/>
          <w:szCs w:val="20"/>
          <w:color w:val="auto"/>
        </w:rPr>
      </w:pPr>
    </w:p>
    <w:p>
      <w:pPr>
        <w:spacing w:after="0" w:line="318"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i3 VERTICALS, INC.</w:t>
      </w:r>
    </w:p>
    <w:p>
      <w:pPr>
        <w:spacing w:after="0" w:line="243" w:lineRule="exact"/>
        <w:rPr>
          <w:sz w:val="20"/>
          <w:szCs w:val="20"/>
          <w:color w:val="auto"/>
        </w:rPr>
      </w:pPr>
    </w:p>
    <w:tbl>
      <w:tblPr>
        <w:tblLayout w:type="fixed"/>
        <w:tblInd w:w="638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Geoff Smith</w:t>
            </w: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Geoff Smith</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0"/>
        </w:trPr>
        <w:tc>
          <w:tcPr>
            <w:tcW w:w="920" w:type="dxa"/>
            <w:vAlign w:val="bottom"/>
          </w:tcPr>
          <w:p>
            <w:pPr>
              <w:spacing w:after="0"/>
              <w:rPr>
                <w:sz w:val="15"/>
                <w:szCs w:val="15"/>
                <w:color w:val="auto"/>
              </w:rPr>
            </w:pPr>
          </w:p>
        </w:tc>
        <w:tc>
          <w:tcPr>
            <w:tcW w:w="39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(Principal Financial Officer and Principal Accounting</w:t>
            </w:r>
          </w:p>
        </w:tc>
      </w:tr>
      <w:tr>
        <w:trPr>
          <w:trHeight w:val="234"/>
        </w:trPr>
        <w:tc>
          <w:tcPr>
            <w:tcW w:w="92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2026-05-12T15:33:42Z</dcterms:created>
  <dcterms:modified xsi:type="dcterms:W3CDTF">2026-05-12T15:33:42Z</dcterms:modified>
</cp:coreProperties>
</file>