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As Filed With the Securities and Exchange Commission on February 18, 2026</w:t>
      </w:r>
    </w:p>
    <w:tbl>
      <w:tblPr>
        <w:tblW w:w="1799" w:type="dxa"/>
        <w:jc w:val="left"/>
        <w:tblInd w:w="0" w:type="dxa"/>
        <w:tblLayout w:type="fixed"/>
        <w:tblCellMar>
          <w:top w:w="28" w:type="dxa"/>
          <w:left w:w="28" w:type="dxa"/>
          <w:bottom w:w="28" w:type="dxa"/>
          <w:right w:w="28" w:type="dxa"/>
        </w:tblCellMar>
      </w:tblPr>
      <w:tblGrid>
        <w:gridCol w:w="575"/>
        <w:gridCol w:w="505"/>
        <w:gridCol w:w="719"/>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Registration No. 333-</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S-8</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REGISTRATION STATEMENT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UNDER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THE SECURITIES ACT OF 1933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i3 Verticals,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w:t>
      </w:r>
    </w:p>
    <w:tbl>
      <w:tblPr>
        <w:tblW w:w="5980" w:type="dxa"/>
        <w:jc w:val="left"/>
        <w:tblInd w:w="0" w:type="dxa"/>
        <w:tblLayout w:type="fixed"/>
        <w:tblCellMar>
          <w:top w:w="28" w:type="dxa"/>
          <w:left w:w="28" w:type="dxa"/>
          <w:bottom w:w="28" w:type="dxa"/>
          <w:right w:w="28" w:type="dxa"/>
        </w:tblCellMar>
      </w:tblPr>
      <w:tblGrid>
        <w:gridCol w:w="1223"/>
        <w:gridCol w:w="1074"/>
        <w:gridCol w:w="1082"/>
        <w:gridCol w:w="151"/>
        <w:gridCol w:w="151"/>
        <w:gridCol w:w="151"/>
        <w:gridCol w:w="627"/>
        <w:gridCol w:w="627"/>
        <w:gridCol w:w="894"/>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3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Delaware</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82-4052852</w:t>
            </w:r>
          </w:p>
        </w:tc>
      </w:tr>
      <w:tr>
        <w:trPr/>
        <w:tc>
          <w:tcPr>
            <w:tcW w:w="3379" w:type="dxa"/>
            <w:gridSpan w:val="3"/>
            <w:tcBorders/>
            <w:tcMar>
              <w:top w:w="0" w:type="dxa"/>
              <w:left w:w="0" w:type="dxa"/>
              <w:bottom w:w="0" w:type="dxa"/>
              <w:right w:w="0" w:type="dxa"/>
            </w:tcMar>
            <w:vAlign w:val="center"/>
          </w:tcPr>
          <w:p>
            <w:pPr>
              <w:pStyle w:val="TableContents"/>
              <w:bidi w:val="0"/>
              <w:spacing w:lineRule="auto" w:line="333" w:before="75" w:after="283"/>
              <w:jc w:val="left"/>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333" w:before="0" w:after="30"/>
              <w:jc w:val="left"/>
              <w:rPr>
                <w:color w:val="000000"/>
              </w:rPr>
            </w:pPr>
            <w:r>
              <w:rPr>
                <w:color w:val="000000"/>
              </w:rPr>
              <w:t> </w:t>
            </w:r>
            <w:r>
              <w:rPr>
                <w:rFonts w:ascii="Times New Roman;serif" w:hAnsi="Times New Roman;serif"/>
                <w:b/>
                <w:color w:val="000000"/>
                <w:sz w:val="16"/>
              </w:rPr>
              <w:t>incorporation or organization)</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lineRule="auto" w:line="333" w:before="75" w:after="283"/>
              <w:jc w:val="right"/>
              <w:rPr>
                <w:rFonts w:ascii="Times New Roman;serif" w:hAnsi="Times New Roman;serif"/>
                <w:b/>
                <w:color w:val="000000"/>
                <w:sz w:val="16"/>
              </w:rPr>
            </w:pPr>
            <w:r>
              <w:rPr>
                <w:rFonts w:ascii="Times New Roman;serif" w:hAnsi="Times New Roman;serif"/>
                <w:b/>
                <w:color w:val="000000"/>
                <w:sz w:val="16"/>
              </w:rPr>
              <w:t xml:space="preserve">(I.R.S. Employer </w:t>
            </w:r>
          </w:p>
          <w:p>
            <w:pPr>
              <w:pStyle w:val="TableContents"/>
              <w:bidi w:val="0"/>
              <w:spacing w:lineRule="auto" w:line="333" w:before="0" w:after="30"/>
              <w:jc w:val="right"/>
              <w:rPr>
                <w:color w:val="000000"/>
              </w:rPr>
            </w:pPr>
            <w:r>
              <w:rPr>
                <w:color w:val="000000"/>
              </w:rPr>
              <w:t> </w:t>
            </w:r>
            <w:r>
              <w:rPr>
                <w:rFonts w:ascii="Times New Roman;serif" w:hAnsi="Times New Roman;serif"/>
                <w:b/>
                <w:color w:val="000000"/>
                <w:sz w:val="16"/>
              </w:rPr>
              <w:t>Identification No.)</w:t>
            </w:r>
          </w:p>
        </w:tc>
      </w:tr>
      <w:tr>
        <w:trPr/>
        <w:tc>
          <w:tcPr>
            <w:tcW w:w="5980" w:type="dxa"/>
            <w:gridSpan w:val="9"/>
            <w:tcBorders/>
            <w:tcMar>
              <w:top w:w="0" w:type="dxa"/>
              <w:left w:w="0" w:type="dxa"/>
              <w:bottom w:w="0" w:type="dxa"/>
              <w:right w:w="0" w:type="dxa"/>
            </w:tcMar>
            <w:vAlign w:val="center"/>
          </w:tcPr>
          <w:p>
            <w:pPr>
              <w:pStyle w:val="TableContents"/>
              <w:bidi w:val="0"/>
              <w:spacing w:lineRule="auto" w:line="333" w:before="75" w:after="283"/>
              <w:jc w:val="center"/>
              <w:rPr>
                <w:rFonts w:ascii="Times New Roman;serif" w:hAnsi="Times New Roman;serif"/>
                <w:b/>
                <w:color w:val="000000"/>
                <w:sz w:val="20"/>
              </w:rPr>
            </w:pPr>
            <w:r>
              <w:rPr>
                <w:rFonts w:ascii="Times New Roman;serif" w:hAnsi="Times New Roman;serif"/>
                <w:b/>
                <w:color w:val="000000"/>
                <w:sz w:val="20"/>
              </w:rPr>
              <w:t>40 Burton Hills Blvd., Suite 415</w:t>
            </w:r>
          </w:p>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Nashville, TN 37215</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w:t>
            </w:r>
          </w:p>
        </w:tc>
      </w:tr>
      <w:tr>
        <w:trPr/>
        <w:tc>
          <w:tcPr>
            <w:tcW w:w="5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i3 Verticals, Inc. 2018 Equity Incentive Plan</w:t>
            </w:r>
          </w:p>
        </w:tc>
      </w:tr>
      <w:tr>
        <w:trPr/>
        <w:tc>
          <w:tcPr>
            <w:tcW w:w="5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title of the plan)</w:t>
            </w:r>
          </w:p>
        </w:tc>
      </w:tr>
      <w:tr>
        <w:trPr/>
        <w:tc>
          <w:tcPr>
            <w:tcW w:w="5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____________________________________</w:t>
            </w:r>
          </w:p>
        </w:tc>
      </w:tr>
      <w:tr>
        <w:trPr/>
        <w:tc>
          <w:tcPr>
            <w:tcW w:w="5980" w:type="dxa"/>
            <w:gridSpan w:val="9"/>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color w:val="000000"/>
                <w:sz w:val="20"/>
              </w:rPr>
            </w:pPr>
            <w:r>
              <w:rPr>
                <w:rFonts w:ascii="Times New Roman;serif" w:hAnsi="Times New Roman;serif"/>
                <w:b/>
                <w:color w:val="000000"/>
                <w:sz w:val="20"/>
              </w:rPr>
              <w:t>Paul Maple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Counsel and Secretary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40 Burton Hills Blvd., Suite 415</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Nashville, TN 37215</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(615) 465-4487</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(Name, address and telephone number, including area code, of agent for service)</w:t>
            </w:r>
          </w:p>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w:t>
            </w:r>
          </w:p>
        </w:tc>
      </w:tr>
      <w:tr>
        <w:trPr/>
        <w:tc>
          <w:tcPr>
            <w:tcW w:w="5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Copies to:</w:t>
            </w:r>
          </w:p>
        </w:tc>
      </w:tr>
      <w:tr>
        <w:trPr/>
        <w:tc>
          <w:tcPr>
            <w:tcW w:w="59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0" w:type="dxa"/>
            <w:gridSpan w:val="9"/>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color w:val="000000"/>
                <w:sz w:val="20"/>
              </w:rPr>
            </w:pPr>
            <w:r>
              <w:rPr>
                <w:rFonts w:ascii="Times New Roman;serif" w:hAnsi="Times New Roman;serif"/>
                <w:b/>
                <w:color w:val="000000"/>
                <w:sz w:val="20"/>
              </w:rPr>
              <w:t>J. Page Davidson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Kevin H. Douglas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Bass, Berry &amp; Sims PLC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 Platform Way South, Suite 3500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Nashville, TN 37203</w:t>
            </w:r>
          </w:p>
          <w:p>
            <w:pPr>
              <w:pStyle w:val="TableContents"/>
              <w:bidi w:val="0"/>
              <w:spacing w:before="0" w:after="30"/>
              <w:jc w:val="center"/>
              <w:rPr/>
            </w:pPr>
            <w:r>
              <w:rPr/>
            </w:r>
          </w:p>
        </w:tc>
      </w:tr>
    </w:tbl>
    <w:p>
      <w:pPr>
        <w:pStyle w:val="TextBody"/>
        <w:bidi w:val="0"/>
        <w:spacing w:before="0" w:after="0"/>
        <w:ind w:left="0" w:right="0" w:firstLine="9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color w:val="000000"/>
          <w:u w:val="single"/>
        </w:rPr>
      </w:pPr>
      <w:r>
        <w:rPr>
          <w:color w:val="000000"/>
          <w:u w:val="single"/>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REGISTRATION OF ADDITIONAL SHARES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This Registration Statement on Form S-8 is being filed to register an additional 2,632,896</w:t>
      </w:r>
      <w:r>
        <w:rPr>
          <w:color w:val="000000"/>
        </w:rPr>
        <w:t xml:space="preserve"> </w:t>
      </w:r>
      <w:r>
        <w:rPr>
          <w:rFonts w:ascii="Times New Roman;serif" w:hAnsi="Times New Roman;serif"/>
          <w:b w:val="false"/>
          <w:color w:val="000000"/>
          <w:sz w:val="20"/>
        </w:rPr>
        <w:t>shares of Class A common stock, par value $0.0001 (the “Class A common stock”), under the 2018 Equity Incentive Plan (the “2018 Plan”) of i3 Verticals, Inc. (the “Registrant”) as a result of a provision in the 2018 Plan providing that the total number of shares of Class A common stock reserved for issuance under the 2018 Plan will automatically increase on the first trading day of each calendar year in an amount equal to four percent (4%) of the outstanding shares of all classes of the Registrant’s common stock (including both Class A common stock and Class B common stock) on the last trading day in December of the immediately preceding calendar year, or by any lesser number as determined by the board of directors (the “Board”) of the Registrant.</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The Registrant previously registered shares of Class A common stock under the 2018 Plan under Registration Statements on Form S-8 (File Nos. 333-225812, 333-229678, 333-236118, 333-252845, 333-262721, 333-269691, and 333-277064), filed with the Securities and Exchange Commission (the “Commission”) on June 22, 2018, February 14, 2019, January 28, 2020, February 8, 2021, February 14, 2022, February 10, 2023, and February 14, 2024, respectively (the “Prior Registration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General Instruction E to Form S-8, the contents of the Prior Registration Statements, with respect to securities offered pursuant to the 2018 Plan, are hereby incorporated by reference and made a part of this Registration Statement on Form S-8.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documents filed by the Registrant with the Commission, pursuant to the Securities Act of 1933, as amended or the Securities Exchange Act of 1934, as amended (the “Exchange Act”), are hereby incorporated by reference and shall be deemed to be a part hereof from the date of filing of such document (except for information “furnished” under Items 2.02, 7.01, or 9.01 on Form 8-K or other information “furnished” to the SEC which is not deemed filed and not incorporated in this Form S-8, unless expressly stated otherwise):</w:t>
      </w:r>
    </w:p>
    <w:p>
      <w:pPr>
        <w:pStyle w:val="TextBody"/>
        <w:bidi w:val="0"/>
        <w:spacing w:lineRule="auto" w:line="288" w:before="240" w:after="240"/>
        <w:ind w:left="0" w:right="0" w:hanging="540"/>
        <w:jc w:val="both"/>
        <w:rPr/>
      </w:pPr>
      <w:r>
        <w:rPr>
          <w:rFonts w:ascii="Times New Roman;serif" w:hAnsi="Times New Roman;serif"/>
          <w:b w:val="false"/>
          <w:color w:val="000000"/>
          <w:sz w:val="20"/>
        </w:rPr>
        <w:t xml:space="preserve">(1)The Registrant’s Annual Report on </w:t>
      </w:r>
      <w:hyperlink r:id="rId2">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 xml:space="preserve">for the fiscal year ended September 30, 2025 (including information specifically incorporated by reference from our </w:t>
      </w:r>
      <w:hyperlink r:id="rId3">
        <w:r>
          <w:rPr>
            <w:rStyle w:val="InternetLink"/>
            <w:rFonts w:ascii="Times New Roman;serif" w:hAnsi="Times New Roman;serif"/>
            <w:b w:val="false"/>
            <w:color w:val="0000FF"/>
            <w:sz w:val="20"/>
            <w:u w:val="single"/>
          </w:rPr>
          <w:t>Definitive Proxy Statement</w:t>
        </w:r>
      </w:hyperlink>
      <w:r>
        <w:rPr>
          <w:color w:val="000000"/>
        </w:rPr>
        <w:t xml:space="preserve"> </w:t>
      </w:r>
      <w:r>
        <w:rPr>
          <w:rFonts w:ascii="Times New Roman;serif" w:hAnsi="Times New Roman;serif"/>
          <w:b w:val="false"/>
          <w:color w:val="000000"/>
          <w:sz w:val="20"/>
        </w:rPr>
        <w:t xml:space="preserve">on Schedule 14A relating to our March 3, 2026 annual meeting of stockholders, filed with the Commission on January 15, 2026) (File No. 001-38532), filed with the Commission on November 21, 2025; </w:t>
      </w:r>
    </w:p>
    <w:p>
      <w:pPr>
        <w:pStyle w:val="TextBody"/>
        <w:bidi w:val="0"/>
        <w:spacing w:lineRule="auto" w:line="288" w:before="240" w:after="240"/>
        <w:ind w:left="0" w:right="0" w:hanging="540"/>
        <w:jc w:val="left"/>
        <w:rPr/>
      </w:pPr>
      <w:r>
        <w:rPr>
          <w:rFonts w:ascii="Times New Roman;serif" w:hAnsi="Times New Roman;serif"/>
          <w:b w:val="false"/>
          <w:color w:val="000000"/>
          <w:sz w:val="20"/>
        </w:rPr>
        <w:t xml:space="preserve">(2)The Registrant’s Quarterly Report on </w:t>
      </w:r>
      <w:hyperlink r:id="rId4">
        <w:r>
          <w:rPr>
            <w:rStyle w:val="InternetLink"/>
            <w:rFonts w:ascii="Times New Roman;serif" w:hAnsi="Times New Roman;serif"/>
            <w:b w:val="false"/>
            <w:color w:val="0000FF"/>
            <w:sz w:val="20"/>
            <w:u w:val="single"/>
          </w:rPr>
          <w:t>Form 10-Q</w:t>
        </w:r>
      </w:hyperlink>
      <w:r>
        <w:rPr>
          <w:color w:val="000000"/>
        </w:rPr>
        <w:t xml:space="preserve"> </w:t>
      </w:r>
      <w:r>
        <w:rPr>
          <w:rFonts w:ascii="Times New Roman;serif" w:hAnsi="Times New Roman;serif"/>
          <w:b w:val="false"/>
          <w:color w:val="000000"/>
          <w:sz w:val="20"/>
        </w:rPr>
        <w:t>for the period ended December 31, 2025 (File No. 001-38532), filed with the SEC on February 6, 2026;</w:t>
      </w:r>
    </w:p>
    <w:p>
      <w:pPr>
        <w:pStyle w:val="TextBody"/>
        <w:bidi w:val="0"/>
        <w:spacing w:lineRule="auto" w:line="240" w:before="0" w:after="0"/>
        <w:ind w:left="0" w:right="0" w:hanging="540"/>
        <w:jc w:val="left"/>
        <w:rPr/>
      </w:pPr>
      <w:r>
        <w:rPr>
          <w:rFonts w:ascii="Times New Roman;serif" w:hAnsi="Times New Roman;serif"/>
          <w:b w:val="false"/>
          <w:color w:val="000000"/>
          <w:sz w:val="20"/>
        </w:rPr>
        <w:t xml:space="preserve">(3)The Registrant’s Current Reports on Form 8-K, filed with the Commission on </w:t>
      </w:r>
      <w:hyperlink r:id="rId5">
        <w:r>
          <w:rPr>
            <w:rStyle w:val="InternetLink"/>
            <w:rFonts w:ascii="Times New Roman;serif" w:hAnsi="Times New Roman;serif"/>
            <w:b w:val="false"/>
            <w:color w:val="0000FF"/>
            <w:sz w:val="20"/>
            <w:u w:val="single"/>
          </w:rPr>
          <w:t>November 17, 2025</w:t>
        </w:r>
      </w:hyperlink>
      <w:r>
        <w:rPr>
          <w:color w:val="000000"/>
        </w:rPr>
        <w:t xml:space="preserve"> </w:t>
      </w:r>
      <w:r>
        <w:rPr>
          <w:rFonts w:ascii="Times New Roman;serif" w:hAnsi="Times New Roman;serif"/>
          <w:b w:val="false"/>
          <w:color w:val="000000"/>
          <w:sz w:val="20"/>
        </w:rPr>
        <w:t xml:space="preserve">(File No. 001-38532) and </w:t>
      </w:r>
      <w:hyperlink r:id="rId6">
        <w:r>
          <w:rPr>
            <w:rStyle w:val="InternetLink"/>
            <w:rFonts w:ascii="Times New Roman;serif" w:hAnsi="Times New Roman;serif"/>
            <w:b w:val="false"/>
            <w:color w:val="0000FF"/>
            <w:sz w:val="20"/>
            <w:u w:val="single"/>
          </w:rPr>
          <w:t>February 5, 2026</w:t>
        </w:r>
      </w:hyperlink>
      <w:r>
        <w:rPr>
          <w:color w:val="000000"/>
        </w:rPr>
        <w:t xml:space="preserve"> </w:t>
      </w:r>
      <w:r>
        <w:rPr>
          <w:rFonts w:ascii="Times New Roman;serif" w:hAnsi="Times New Roman;serif"/>
          <w:b w:val="false"/>
          <w:color w:val="000000"/>
          <w:sz w:val="20"/>
        </w:rPr>
        <w:t>(File No. 001-38532); and</w:t>
      </w:r>
    </w:p>
    <w:p>
      <w:pPr>
        <w:pStyle w:val="TextBody"/>
        <w:bidi w:val="0"/>
        <w:spacing w:lineRule="auto" w:line="288" w:before="240" w:after="240"/>
        <w:ind w:left="0" w:right="0" w:hanging="540"/>
        <w:jc w:val="both"/>
        <w:rPr/>
      </w:pPr>
      <w:r>
        <w:rPr>
          <w:rFonts w:ascii="Times New Roman;serif" w:hAnsi="Times New Roman;serif"/>
          <w:b w:val="false"/>
          <w:color w:val="000000"/>
          <w:sz w:val="20"/>
        </w:rPr>
        <w:t xml:space="preserve">(4)The description of the Registrant’s Class A common stock contained in the Registrant’s Registration Statement on </w:t>
      </w:r>
      <w:hyperlink r:id="rId7">
        <w:r>
          <w:rPr>
            <w:rStyle w:val="InternetLink"/>
            <w:rFonts w:ascii="Times New Roman;serif" w:hAnsi="Times New Roman;serif"/>
            <w:b w:val="false"/>
            <w:color w:val="0000FF"/>
            <w:sz w:val="20"/>
            <w:u w:val="single"/>
          </w:rPr>
          <w:t>Form 8-A</w:t>
        </w:r>
      </w:hyperlink>
      <w:r>
        <w:rPr>
          <w:color w:val="000000"/>
        </w:rPr>
        <w:t xml:space="preserve"> </w:t>
      </w:r>
      <w:r>
        <w:rPr>
          <w:rFonts w:ascii="Times New Roman;serif" w:hAnsi="Times New Roman;serif"/>
          <w:b w:val="false"/>
          <w:color w:val="000000"/>
          <w:sz w:val="20"/>
        </w:rPr>
        <w:t>(File No. 001-38532), filed with the Commission on June 15, 2018, pursuant to Section 12(b) of the Exchange Act, including any amendment or report filed for the purpose of updating such description.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Except to the extent that information therein is deemed furnished and not filed pursuant to the Exchange Act, all documents filed by the Registrant pursuant to Section 13(a), 13(c), 14 and 15(d) of the Exchange Act after the date hereof and prior to the filing of a post-effective amendment to this Registration Statement which indicates that all securities offered hereby have been sold or which deregisters all securities then remaining unsold, shall be deemed to be incorporated by reference herein and to be a part hereof from the date of filing of such documents. Any statements contained in a document incorporated or deemed to be incorporated by reference herein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deemed to be modified or replaced for purposes hereof to the extent that a statement contained herein (or in any other subsequently filed document which also is incorporated or deemed to be incorporated by reference herein) modifies or replaces such statement. Any statement so modified or replaced shall not be deemed, except as so modified or replaced, to constitute a part hereof.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information furnished (rather than filed) under Items 2.02, 7.01 and 9.01 of any Current Report on Form 8-K, including the related exhibits, is not incorporated by reference in this Registration Statement or the related prospectus.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        Exhibits.</w:t>
      </w:r>
    </w:p>
    <w:tbl>
      <w:tblPr>
        <w:tblW w:w="10205" w:type="dxa"/>
        <w:jc w:val="left"/>
        <w:tblInd w:w="0" w:type="dxa"/>
        <w:tblLayout w:type="fixed"/>
        <w:tblCellMar>
          <w:top w:w="28" w:type="dxa"/>
          <w:left w:w="28" w:type="dxa"/>
          <w:bottom w:w="28" w:type="dxa"/>
          <w:right w:w="28" w:type="dxa"/>
        </w:tblCellMar>
      </w:tblPr>
      <w:tblGrid>
        <w:gridCol w:w="427"/>
        <w:gridCol w:w="330"/>
        <w:gridCol w:w="333"/>
        <w:gridCol w:w="109"/>
        <w:gridCol w:w="109"/>
        <w:gridCol w:w="109"/>
        <w:gridCol w:w="2570"/>
        <w:gridCol w:w="2570"/>
        <w:gridCol w:w="3648"/>
      </w:tblGrid>
      <w:tr>
        <w:trPr/>
        <w:tc>
          <w:tcPr>
            <w:tcW w:w="42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tcMar>
              <w:top w:w="0" w:type="dxa"/>
              <w:left w:w="0" w:type="dxa"/>
              <w:bottom w:w="0" w:type="dxa"/>
              <w:right w:w="0" w:type="dxa"/>
            </w:tcMar>
            <w:vAlign w:val="center"/>
          </w:tcPr>
          <w:p>
            <w:pPr>
              <w:pStyle w:val="TableContents"/>
              <w:bidi w:val="0"/>
              <w:spacing w:lineRule="auto" w:line="333" w:before="75" w:after="30"/>
              <w:jc w:val="left"/>
              <w:rPr/>
            </w:pPr>
            <w:hyperlink r:id="rId9">
              <w:r>
                <w:rPr>
                  <w:rStyle w:val="InternetLink"/>
                  <w:rFonts w:ascii="Times New Roman;serif" w:hAnsi="Times New Roman;serif"/>
                  <w:b w:val="false"/>
                  <w:color w:val="0000FF"/>
                  <w:sz w:val="20"/>
                  <w:u w:val="single"/>
                </w:rPr>
                <w:t>Amended and Restated Certificate of Incorporation of i3 Verticals, Inc. (incorporated by reference to Exhibit 3.1 to the Company’s Current Report on Form 8-K filed with the SEC on June 25, 2018) (File No. 001-38532).</w:t>
              </w:r>
            </w:hyperlink>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tcMar>
              <w:top w:w="0" w:type="dxa"/>
              <w:left w:w="0" w:type="dxa"/>
              <w:bottom w:w="0" w:type="dxa"/>
              <w:right w:w="0" w:type="dxa"/>
            </w:tcMar>
            <w:vAlign w:val="center"/>
          </w:tcPr>
          <w:p>
            <w:pPr>
              <w:pStyle w:val="TableContents"/>
              <w:bidi w:val="0"/>
              <w:spacing w:lineRule="auto" w:line="333" w:before="75" w:after="30"/>
              <w:jc w:val="left"/>
              <w:rPr/>
            </w:pPr>
            <w:hyperlink r:id="rId11">
              <w:r>
                <w:rPr>
                  <w:rStyle w:val="InternetLink"/>
                  <w:rFonts w:ascii="Times New Roman;serif" w:hAnsi="Times New Roman;serif"/>
                  <w:b w:val="false"/>
                  <w:color w:val="0000FF"/>
                  <w:sz w:val="20"/>
                  <w:u w:val="single"/>
                </w:rPr>
                <w:t>Amended and Restated Bylaws of i3 Verticals, Inc. (incorporated by reference to Exhibit 3.1 to the Company’s Current Report on Form 8-K filed with the SEC on November 16, 2022) (File No. 001-38532).</w:t>
              </w:r>
            </w:hyperlink>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tcMar>
              <w:top w:w="0" w:type="dxa"/>
              <w:left w:w="0" w:type="dxa"/>
              <w:bottom w:w="0" w:type="dxa"/>
              <w:right w:w="0" w:type="dxa"/>
            </w:tcMar>
            <w:vAlign w:val="center"/>
          </w:tcPr>
          <w:p>
            <w:pPr>
              <w:pStyle w:val="TableContents"/>
              <w:bidi w:val="0"/>
              <w:spacing w:lineRule="auto" w:line="333" w:before="75" w:after="30"/>
              <w:jc w:val="left"/>
              <w:rPr/>
            </w:pPr>
            <w:hyperlink r:id="rId13">
              <w:r>
                <w:rPr>
                  <w:rStyle w:val="InternetLink"/>
                  <w:rFonts w:ascii="Times New Roman;serif" w:hAnsi="Times New Roman;serif"/>
                  <w:b w:val="false"/>
                  <w:color w:val="0000FF"/>
                  <w:sz w:val="20"/>
                  <w:u w:val="single"/>
                </w:rPr>
                <w:t>Specimen Stock Certificate evidencing the shares of Class A common stock (incorporated by reference to Exhibit 4.1 to the Registrant’s Registration Statement on Form S-1 (Registration No. 333-225214), filed on May 25, 2018).</w:t>
              </w:r>
            </w:hyperlink>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verticals-formsx8feb2026.htm">
              <w:r>
                <w:rPr>
                  <w:rStyle w:val="InternetLink"/>
                  <w:rFonts w:ascii="Times New Roman;serif" w:hAnsi="Times New Roman;serif"/>
                  <w:b w:val="false"/>
                  <w:color w:val="0000FF"/>
                  <w:sz w:val="20"/>
                  <w:u w:val="single"/>
                </w:rPr>
                <w:t>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tcMar>
              <w:top w:w="0" w:type="dxa"/>
              <w:left w:w="0" w:type="dxa"/>
              <w:bottom w:w="0" w:type="dxa"/>
              <w:right w:w="0" w:type="dxa"/>
            </w:tcMar>
            <w:vAlign w:val="center"/>
          </w:tcPr>
          <w:p>
            <w:pPr>
              <w:pStyle w:val="TableContents"/>
              <w:bidi w:val="0"/>
              <w:spacing w:lineRule="auto" w:line="333" w:before="75" w:after="30"/>
              <w:jc w:val="left"/>
              <w:rPr/>
            </w:pPr>
            <w:hyperlink w:anchor="i3verticals-formsx8feb2026.htm">
              <w:r>
                <w:rPr>
                  <w:rStyle w:val="InternetLink"/>
                  <w:rFonts w:ascii="Times New Roman;serif" w:hAnsi="Times New Roman;serif"/>
                  <w:b w:val="false"/>
                  <w:color w:val="0000FF"/>
                  <w:sz w:val="20"/>
                  <w:u w:val="single"/>
                </w:rPr>
                <w:t>Opinion of Bass, Berry &amp; Sims PLC.</w:t>
              </w:r>
            </w:hyperlink>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verticals-formsx8feb2026.htm">
              <w:r>
                <w:rPr>
                  <w:rStyle w:val="InternetLink"/>
                  <w:rFonts w:ascii="Times New Roman;serif" w:hAnsi="Times New Roman;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tcMar>
              <w:top w:w="0" w:type="dxa"/>
              <w:left w:w="0" w:type="dxa"/>
              <w:bottom w:w="0" w:type="dxa"/>
              <w:right w:w="0" w:type="dxa"/>
            </w:tcMar>
            <w:vAlign w:val="center"/>
          </w:tcPr>
          <w:p>
            <w:pPr>
              <w:pStyle w:val="TableContents"/>
              <w:bidi w:val="0"/>
              <w:spacing w:lineRule="auto" w:line="333" w:before="75" w:after="30"/>
              <w:jc w:val="left"/>
              <w:rPr/>
            </w:pPr>
            <w:hyperlink w:anchor="i3verticals-formsx8feb2026.htm">
              <w:r>
                <w:rPr>
                  <w:rStyle w:val="InternetLink"/>
                  <w:rFonts w:ascii="Times New Roman;serif" w:hAnsi="Times New Roman;serif"/>
                  <w:b w:val="false"/>
                  <w:color w:val="0000FF"/>
                  <w:sz w:val="20"/>
                  <w:u w:val="single"/>
                </w:rPr>
                <w:t>Consent of Bass, Berry &amp; Sims PLC (included in Exhibit 5.1).</w:t>
              </w:r>
            </w:hyperlink>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2deloittes-8consent202.htm">
              <w:r>
                <w:rPr>
                  <w:rStyle w:val="InternetLink"/>
                  <w:rFonts w:ascii="Times New Roman;serif" w:hAnsi="Times New Roman;serif"/>
                  <w:b w:val="false"/>
                  <w:color w:val="0000FF"/>
                  <w:sz w:val="20"/>
                  <w:u w:val="single"/>
                </w:rPr>
                <w:t>23.2*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tcMar>
              <w:top w:w="0" w:type="dxa"/>
              <w:left w:w="0" w:type="dxa"/>
              <w:bottom w:w="0" w:type="dxa"/>
              <w:right w:w="0" w:type="dxa"/>
            </w:tcMar>
            <w:vAlign w:val="center"/>
          </w:tcPr>
          <w:p>
            <w:pPr>
              <w:pStyle w:val="TableContents"/>
              <w:bidi w:val="0"/>
              <w:spacing w:lineRule="auto" w:line="333" w:before="75" w:after="30"/>
              <w:jc w:val="left"/>
              <w:rPr/>
            </w:pPr>
            <w:hyperlink w:anchor="ex232deloittes-8consent202.htm">
              <w:r>
                <w:rPr>
                  <w:rStyle w:val="InternetLink"/>
                  <w:rFonts w:ascii="Times New Roman;serif" w:hAnsi="Times New Roman;serif"/>
                  <w:b w:val="false"/>
                  <w:color w:val="0000FF"/>
                  <w:sz w:val="20"/>
                  <w:u w:val="single"/>
                </w:rPr>
                <w:t>Consent of Deloitte &amp; Touche, LLP.</w:t>
              </w:r>
            </w:hyperlink>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dfc92b6a824e2e84ec876d5691845c_7">
              <w:r>
                <w:rPr>
                  <w:rStyle w:val="InternetLink"/>
                  <w:rFonts w:ascii="Times New Roman;serif" w:hAnsi="Times New Roman;serif"/>
                  <w:b w:val="false"/>
                  <w:color w:val="0000FF"/>
                  <w:sz w:val="20"/>
                  <w:u w:val="single"/>
                </w:rPr>
                <w:t>24.1*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tcMar>
              <w:top w:w="0" w:type="dxa"/>
              <w:left w:w="0" w:type="dxa"/>
              <w:bottom w:w="0" w:type="dxa"/>
              <w:right w:w="0" w:type="dxa"/>
            </w:tcMar>
            <w:vAlign w:val="center"/>
          </w:tcPr>
          <w:p>
            <w:pPr>
              <w:pStyle w:val="TableContents"/>
              <w:bidi w:val="0"/>
              <w:spacing w:lineRule="auto" w:line="333" w:before="75" w:after="30"/>
              <w:jc w:val="left"/>
              <w:rPr/>
            </w:pPr>
            <w:hyperlink w:anchor="ie1dfc92b6a824e2e84ec876d5691845c_7">
              <w:r>
                <w:rPr>
                  <w:rStyle w:val="InternetLink"/>
                  <w:rFonts w:ascii="Times New Roman;serif" w:hAnsi="Times New Roman;serif"/>
                  <w:b w:val="false"/>
                  <w:color w:val="0000FF"/>
                  <w:sz w:val="20"/>
                  <w:u w:val="single"/>
                </w:rPr>
                <w:t>Power of Attorney (included on signature page).</w:t>
              </w:r>
            </w:hyperlink>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tcMar>
              <w:top w:w="0" w:type="dxa"/>
              <w:left w:w="0" w:type="dxa"/>
              <w:bottom w:w="0" w:type="dxa"/>
              <w:right w:w="0" w:type="dxa"/>
            </w:tcMar>
            <w:vAlign w:val="center"/>
          </w:tcPr>
          <w:p>
            <w:pPr>
              <w:pStyle w:val="TableContents"/>
              <w:bidi w:val="0"/>
              <w:spacing w:lineRule="auto" w:line="333" w:before="75" w:after="30"/>
              <w:jc w:val="left"/>
              <w:rPr/>
            </w:pPr>
            <w:hyperlink r:id="rId15">
              <w:r>
                <w:rPr>
                  <w:rStyle w:val="InternetLink"/>
                  <w:rFonts w:ascii="Times New Roman;serif" w:hAnsi="Times New Roman;serif"/>
                  <w:b w:val="false"/>
                  <w:color w:val="0000FF"/>
                  <w:sz w:val="20"/>
                  <w:u w:val="single"/>
                </w:rPr>
                <w:t>i3 Verticals, Inc. 2018 Equity Incentive Plan (incorporated by reference to Exhibit 10.24 to the Registrant’s Registration Statement on Form S-1/A (Registration No. 333-225214), filed on June 11, 2018).</w:t>
              </w:r>
            </w:hyperlink>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tcMar>
              <w:top w:w="0" w:type="dxa"/>
              <w:left w:w="0" w:type="dxa"/>
              <w:bottom w:w="0" w:type="dxa"/>
              <w:right w:w="0" w:type="dxa"/>
            </w:tcMar>
            <w:vAlign w:val="center"/>
          </w:tcPr>
          <w:p>
            <w:pPr>
              <w:pStyle w:val="TableContents"/>
              <w:bidi w:val="0"/>
              <w:spacing w:lineRule="auto" w:line="333" w:before="75" w:after="30"/>
              <w:jc w:val="left"/>
              <w:rPr/>
            </w:pPr>
            <w:hyperlink w:anchor="exfilingfees.htm">
              <w:r>
                <w:rPr>
                  <w:rStyle w:val="InternetLink"/>
                  <w:rFonts w:ascii="Times New Roman;serif" w:hAnsi="Times New Roman;serif"/>
                  <w:b w:val="false"/>
                  <w:color w:val="0000FF"/>
                  <w:sz w:val="20"/>
                  <w:u w:val="single"/>
                </w:rPr>
                <w:t>Filing Fee Table</w:t>
              </w:r>
            </w:hyperlink>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Nashville, State of Tennessee, on this 18th day of February, 2026.</w:t>
      </w:r>
    </w:p>
    <w:tbl>
      <w:tblPr>
        <w:tblW w:w="5294" w:type="dxa"/>
        <w:jc w:val="left"/>
        <w:tblInd w:w="0" w:type="dxa"/>
        <w:tblLayout w:type="fixed"/>
        <w:tblCellMar>
          <w:top w:w="28" w:type="dxa"/>
          <w:left w:w="28" w:type="dxa"/>
          <w:bottom w:w="28" w:type="dxa"/>
          <w:right w:w="28" w:type="dxa"/>
        </w:tblCellMar>
      </w:tblPr>
      <w:tblGrid>
        <w:gridCol w:w="184"/>
        <w:gridCol w:w="161"/>
        <w:gridCol w:w="161"/>
        <w:gridCol w:w="161"/>
        <w:gridCol w:w="161"/>
        <w:gridCol w:w="161"/>
        <w:gridCol w:w="1260"/>
        <w:gridCol w:w="1260"/>
        <w:gridCol w:w="1785"/>
      </w:tblGrid>
      <w:tr>
        <w:trPr/>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52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i3 Verticals, Inc.</w:t>
            </w:r>
          </w:p>
        </w:tc>
      </w:tr>
      <w:tr>
        <w:trPr/>
        <w:tc>
          <w:tcPr>
            <w:tcW w:w="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Gregory S. Daily</w:t>
            </w:r>
          </w:p>
        </w:tc>
      </w:tr>
      <w:tr>
        <w:trPr/>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Gregory S. Daily</w:t>
            </w:r>
          </w:p>
        </w:tc>
      </w:tr>
      <w:tr>
        <w:trPr/>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w:t>
            </w:r>
          </w:p>
        </w:tc>
      </w:tr>
    </w:tbl>
    <w:p>
      <w:pPr>
        <w:pStyle w:val="TextBody"/>
        <w:bidi w:val="0"/>
        <w:spacing w:lineRule="auto" w:line="333" w:before="0" w:after="0"/>
        <w:jc w:val="left"/>
        <w:rPr>
          <w:color w:val="000000"/>
        </w:rPr>
      </w:pPr>
      <w:r>
        <w:rPr>
          <w:color w:val="000000"/>
        </w:rPr>
        <w:t>                                    </w:t>
      </w:r>
    </w:p>
    <w:p>
      <w:pPr>
        <w:pStyle w:val="TextBody"/>
        <w:bidi w:val="0"/>
        <w:spacing w:lineRule="auto" w:line="333" w:before="240" w:after="283"/>
        <w:ind w:left="0" w:right="0" w:firstLine="720"/>
        <w:jc w:val="both"/>
        <w:rPr/>
      </w:pPr>
      <w:r>
        <w:rPr>
          <w:rFonts w:ascii="Times New Roman;serif" w:hAnsi="Times New Roman;serif"/>
          <w:b/>
          <w:color w:val="000000"/>
          <w:sz w:val="20"/>
        </w:rPr>
        <w:t>KNOW ALL PERSONS BY THESE PRESENTS,</w:t>
      </w:r>
      <w:r>
        <w:rPr>
          <w:color w:val="000000"/>
        </w:rPr>
        <w:t xml:space="preserve"> </w:t>
      </w:r>
      <w:r>
        <w:rPr>
          <w:rFonts w:ascii="Times New Roman;serif" w:hAnsi="Times New Roman;serif"/>
          <w:b w:val="false"/>
          <w:color w:val="000000"/>
          <w:sz w:val="20"/>
        </w:rPr>
        <w:t xml:space="preserve">that each person whose signature appears below hereby constitutes and appoints Gregory S. Daily and Clay Whitson,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or her substitute or substitutes, may lawfully do or cause to be done by virtue hereof. This power of attorney shall be governed by and construed with the laws of the State of Delaware and applicable federal securities laws. </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tbl>
      <w:tblPr>
        <w:tblW w:w="10205" w:type="dxa"/>
        <w:jc w:val="left"/>
        <w:tblInd w:w="0" w:type="dxa"/>
        <w:tblLayout w:type="fixed"/>
        <w:tblCellMar>
          <w:top w:w="28" w:type="dxa"/>
          <w:left w:w="28" w:type="dxa"/>
          <w:bottom w:w="28" w:type="dxa"/>
          <w:right w:w="28" w:type="dxa"/>
        </w:tblCellMar>
      </w:tblPr>
      <w:tblGrid>
        <w:gridCol w:w="1003"/>
        <w:gridCol w:w="852"/>
        <w:gridCol w:w="858"/>
        <w:gridCol w:w="1987"/>
        <w:gridCol w:w="1963"/>
        <w:gridCol w:w="1988"/>
        <w:gridCol w:w="451"/>
        <w:gridCol w:w="451"/>
        <w:gridCol w:w="652"/>
      </w:tblGrid>
      <w:tr>
        <w:trPr/>
        <w:tc>
          <w:tcPr>
            <w:tcW w:w="100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2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5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Date</w:t>
            </w:r>
          </w:p>
        </w:tc>
      </w:tr>
      <w:tr>
        <w:trPr/>
        <w:tc>
          <w:tcPr>
            <w:tcW w:w="2713"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Gregory S. Daily </w:t>
            </w:r>
          </w:p>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Gregory S. Daily</w:t>
            </w:r>
          </w:p>
        </w:tc>
        <w:tc>
          <w:tcPr>
            <w:tcW w:w="5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 (Principal Executive Officer)</w:t>
            </w:r>
          </w:p>
        </w:tc>
        <w:tc>
          <w:tcPr>
            <w:tcW w:w="15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18, 2026</w:t>
            </w:r>
          </w:p>
        </w:tc>
      </w:tr>
      <w:tr>
        <w:trPr/>
        <w:tc>
          <w:tcPr>
            <w:tcW w:w="2713"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Clay Whitson </w:t>
            </w:r>
          </w:p>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Clay Whitson</w:t>
            </w:r>
          </w:p>
        </w:tc>
        <w:tc>
          <w:tcPr>
            <w:tcW w:w="5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Strategy Officer and Director</w:t>
            </w:r>
          </w:p>
        </w:tc>
        <w:tc>
          <w:tcPr>
            <w:tcW w:w="15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18, 2026</w:t>
            </w:r>
          </w:p>
        </w:tc>
      </w:tr>
      <w:tr>
        <w:trPr/>
        <w:tc>
          <w:tcPr>
            <w:tcW w:w="2713"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Geoff Smith </w:t>
            </w:r>
          </w:p>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Geoff Smith</w:t>
            </w:r>
          </w:p>
        </w:tc>
        <w:tc>
          <w:tcPr>
            <w:tcW w:w="59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Principal Accounting Officer)</w:t>
            </w:r>
          </w:p>
        </w:tc>
        <w:tc>
          <w:tcPr>
            <w:tcW w:w="15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18, 2026</w:t>
            </w:r>
          </w:p>
        </w:tc>
      </w:tr>
      <w:tr>
        <w:trPr/>
        <w:tc>
          <w:tcPr>
            <w:tcW w:w="2713"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Elizabeth Seigenthaler Courtney </w:t>
            </w:r>
          </w:p>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Elizabeth Seigenthaler Courtney</w:t>
            </w:r>
          </w:p>
        </w:tc>
        <w:tc>
          <w:tcPr>
            <w:tcW w:w="5938"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18, 2026</w:t>
            </w:r>
          </w:p>
        </w:tc>
      </w:tr>
      <w:tr>
        <w:trPr/>
        <w:tc>
          <w:tcPr>
            <w:tcW w:w="2713"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John Harrison </w:t>
            </w:r>
          </w:p>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John Harrison</w:t>
            </w:r>
          </w:p>
        </w:tc>
        <w:tc>
          <w:tcPr>
            <w:tcW w:w="5938"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18, 2026</w:t>
            </w:r>
          </w:p>
        </w:tc>
      </w:tr>
      <w:tr>
        <w:trPr/>
        <w:tc>
          <w:tcPr>
            <w:tcW w:w="2713"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Decosta Jenkins </w:t>
            </w:r>
          </w:p>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Decosta Jenkins</w:t>
            </w:r>
          </w:p>
        </w:tc>
        <w:tc>
          <w:tcPr>
            <w:tcW w:w="5938"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18, 2026</w:t>
            </w:r>
          </w:p>
        </w:tc>
      </w:tr>
      <w:tr>
        <w:trPr/>
        <w:tc>
          <w:tcPr>
            <w:tcW w:w="2713"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Timothy McKenna </w:t>
            </w:r>
          </w:p>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Timothy McKenna</w:t>
            </w:r>
          </w:p>
        </w:tc>
        <w:tc>
          <w:tcPr>
            <w:tcW w:w="5938"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18, 2026</w:t>
            </w:r>
          </w:p>
        </w:tc>
      </w:tr>
      <w:tr>
        <w:trPr/>
        <w:tc>
          <w:tcPr>
            <w:tcW w:w="2713"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David Morgan     </w:t>
            </w:r>
          </w:p>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David Morgan</w:t>
            </w:r>
          </w:p>
        </w:tc>
        <w:tc>
          <w:tcPr>
            <w:tcW w:w="5938"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18, 2026</w:t>
            </w:r>
          </w:p>
        </w:tc>
      </w:tr>
      <w:tr>
        <w:trPr/>
        <w:tc>
          <w:tcPr>
            <w:tcW w:w="2713"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David Wilds </w:t>
            </w:r>
          </w:p>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David Wilds</w:t>
            </w:r>
          </w:p>
        </w:tc>
        <w:tc>
          <w:tcPr>
            <w:tcW w:w="5938"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18, 2026</w:t>
            </w:r>
          </w:p>
        </w:tc>
      </w:tr>
    </w:tbl>
    <w:p>
      <w:pPr>
        <w:pStyle w:val="TextBody"/>
        <w:bidi w:val="0"/>
        <w:spacing w:before="480" w:after="283"/>
        <w:jc w:val="left"/>
        <w:rPr/>
      </w:pPr>
      <w:r>
        <w:rPr/>
      </w:r>
    </w:p>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62" w:type="dxa"/>
        <w:jc w:val="left"/>
        <w:tblInd w:w="0" w:type="dxa"/>
        <w:tblLayout w:type="fixed"/>
        <w:tblCellMar>
          <w:top w:w="28" w:type="dxa"/>
          <w:left w:w="28" w:type="dxa"/>
          <w:bottom w:w="28" w:type="dxa"/>
          <w:right w:w="28" w:type="dxa"/>
        </w:tblCellMar>
      </w:tblPr>
      <w:tblGrid>
        <w:gridCol w:w="3408"/>
        <w:gridCol w:w="154"/>
      </w:tblGrid>
      <w:tr>
        <w:trPr/>
        <w:tc>
          <w:tcPr>
            <w:tcW w:w="3562"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8"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8" w:type="dxa"/>
            <w:tcBorders/>
            <w:vAlign w:val="center"/>
          </w:tcPr>
          <w:p>
            <w:pPr>
              <w:pStyle w:val="TableContents"/>
              <w:bidi w:val="0"/>
              <w:spacing w:before="0" w:after="283"/>
              <w:jc w:val="left"/>
              <w:rPr>
                <w:b/>
              </w:rPr>
            </w:pPr>
            <w:r>
              <w:rPr>
                <w:b/>
              </w:rPr>
              <w:t xml:space="preserve">i3 Verticals,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8"/>
        <w:gridCol w:w="1023"/>
        <w:gridCol w:w="1295"/>
        <w:gridCol w:w="1203"/>
        <w:gridCol w:w="1221"/>
        <w:gridCol w:w="1706"/>
        <w:gridCol w:w="1127"/>
        <w:gridCol w:w="1430"/>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8"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3"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5"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21"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3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8" w:type="dxa"/>
            <w:tcBorders/>
            <w:shd w:fill="E7E7E2" w:val="clear"/>
            <w:vAlign w:val="center"/>
          </w:tcPr>
          <w:p>
            <w:pPr>
              <w:pStyle w:val="TableContents"/>
              <w:bidi w:val="0"/>
              <w:spacing w:before="0" w:after="283"/>
              <w:jc w:val="left"/>
              <w:rPr/>
            </w:pPr>
            <w:r>
              <w:rPr/>
              <w:t xml:space="preserve">Equity </w:t>
            </w:r>
          </w:p>
        </w:tc>
        <w:tc>
          <w:tcPr>
            <w:tcW w:w="1023" w:type="dxa"/>
            <w:tcBorders/>
            <w:shd w:fill="E7E7E2" w:val="clear"/>
            <w:vAlign w:val="center"/>
          </w:tcPr>
          <w:p>
            <w:pPr>
              <w:pStyle w:val="TableContents"/>
              <w:bidi w:val="0"/>
              <w:spacing w:before="0" w:after="283"/>
              <w:jc w:val="left"/>
              <w:rPr/>
            </w:pPr>
            <w:r>
              <w:rPr/>
              <w:t xml:space="preserve">Class A common stock, par value $0.0001 per share </w:t>
            </w:r>
          </w:p>
        </w:tc>
        <w:tc>
          <w:tcPr>
            <w:tcW w:w="1295" w:type="dxa"/>
            <w:tcBorders/>
            <w:shd w:fill="E7E7E2" w:val="clear"/>
            <w:vAlign w:val="center"/>
          </w:tcPr>
          <w:p>
            <w:pPr>
              <w:pStyle w:val="TableContents"/>
              <w:bidi w:val="0"/>
              <w:spacing w:before="0" w:after="283"/>
              <w:jc w:val="center"/>
              <w:rPr/>
            </w:pPr>
            <w:r>
              <w:rPr/>
              <w:t xml:space="preserve">Other </w:t>
            </w:r>
          </w:p>
        </w:tc>
        <w:tc>
          <w:tcPr>
            <w:tcW w:w="1203" w:type="dxa"/>
            <w:tcBorders/>
            <w:shd w:fill="E7E7E2" w:val="clear"/>
            <w:vAlign w:val="center"/>
          </w:tcPr>
          <w:p>
            <w:pPr>
              <w:pStyle w:val="TableContents"/>
              <w:bidi w:val="0"/>
              <w:spacing w:before="0" w:after="283"/>
              <w:jc w:val="right"/>
              <w:rPr/>
            </w:pPr>
            <w:r>
              <w:rPr/>
              <w:t xml:space="preserve">2,632,896 </w:t>
            </w:r>
          </w:p>
        </w:tc>
        <w:tc>
          <w:tcPr>
            <w:tcW w:w="1221" w:type="dxa"/>
            <w:tcBorders/>
            <w:shd w:fill="E7E7E2" w:val="clear"/>
            <w:vAlign w:val="center"/>
          </w:tcPr>
          <w:p>
            <w:pPr>
              <w:pStyle w:val="TableContents"/>
              <w:bidi w:val="0"/>
              <w:spacing w:before="0" w:after="283"/>
              <w:jc w:val="right"/>
              <w:rPr/>
            </w:pPr>
            <w:r>
              <w:rPr/>
              <w:t xml:space="preserve">$ 21.58 </w:t>
            </w:r>
          </w:p>
        </w:tc>
        <w:tc>
          <w:tcPr>
            <w:tcW w:w="1706" w:type="dxa"/>
            <w:tcBorders/>
            <w:shd w:fill="E7E7E2" w:val="clear"/>
            <w:vAlign w:val="center"/>
          </w:tcPr>
          <w:p>
            <w:pPr>
              <w:pStyle w:val="TableContents"/>
              <w:bidi w:val="0"/>
              <w:spacing w:before="0" w:after="283"/>
              <w:jc w:val="right"/>
              <w:rPr/>
            </w:pPr>
            <w:r>
              <w:rPr/>
              <w:t xml:space="preserve">$ 56,817,895.68 </w:t>
            </w:r>
          </w:p>
        </w:tc>
        <w:tc>
          <w:tcPr>
            <w:tcW w:w="1127" w:type="dxa"/>
            <w:tcBorders/>
            <w:shd w:fill="E7E7E2" w:val="clear"/>
            <w:vAlign w:val="center"/>
          </w:tcPr>
          <w:p>
            <w:pPr>
              <w:pStyle w:val="TableContents"/>
              <w:bidi w:val="0"/>
              <w:spacing w:before="0" w:after="283"/>
              <w:jc w:val="right"/>
              <w:rPr/>
            </w:pPr>
            <w:r>
              <w:rPr/>
              <w:t xml:space="preserve">0.0001381 </w:t>
            </w:r>
          </w:p>
        </w:tc>
        <w:tc>
          <w:tcPr>
            <w:tcW w:w="1430" w:type="dxa"/>
            <w:tcBorders/>
            <w:shd w:fill="E7E7E2" w:val="clear"/>
            <w:vAlign w:val="center"/>
          </w:tcPr>
          <w:p>
            <w:pPr>
              <w:pStyle w:val="TableContents"/>
              <w:bidi w:val="0"/>
              <w:spacing w:before="0" w:after="283"/>
              <w:jc w:val="right"/>
              <w:rPr/>
            </w:pPr>
            <w:r>
              <w:rPr/>
              <w:t xml:space="preserve">$ 7,846.55 </w:t>
            </w:r>
          </w:p>
        </w:tc>
      </w:tr>
      <w:tr>
        <w:trPr/>
        <w:tc>
          <w:tcPr>
            <w:tcW w:w="4721" w:type="dxa"/>
            <w:gridSpan w:val="5"/>
            <w:tcBorders/>
            <w:vAlign w:val="center"/>
          </w:tcPr>
          <w:p>
            <w:pPr>
              <w:pStyle w:val="TableContents"/>
              <w:bidi w:val="0"/>
              <w:spacing w:before="0" w:after="0"/>
              <w:ind w:left="0" w:right="0" w:hanging="0"/>
              <w:jc w:val="right"/>
              <w:rPr/>
            </w:pPr>
            <w:r>
              <w:rPr/>
              <w:t>Total Offering Amounts:</w:t>
            </w:r>
          </w:p>
        </w:tc>
        <w:tc>
          <w:tcPr>
            <w:tcW w:w="122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0"/>
              <w:ind w:left="0" w:right="0" w:hanging="0"/>
              <w:jc w:val="right"/>
              <w:rPr/>
            </w:pPr>
            <w:bookmarkStart w:id="4" w:name="MaxAggtOfferingPrice"/>
            <w:bookmarkEnd w:id="4"/>
            <w:r>
              <w:rPr/>
              <w:t xml:space="preserve">$ 56,817,895.68 </w:t>
            </w:r>
          </w:p>
        </w:tc>
        <w:tc>
          <w:tcPr>
            <w:tcW w:w="1127" w:type="dxa"/>
            <w:tcBorders/>
            <w:vAlign w:val="center"/>
          </w:tcPr>
          <w:p>
            <w:pPr>
              <w:pStyle w:val="TableContents"/>
              <w:bidi w:val="0"/>
              <w:spacing w:before="0" w:after="283"/>
              <w:jc w:val="left"/>
              <w:rPr>
                <w:sz w:val="4"/>
                <w:szCs w:val="4"/>
              </w:rPr>
            </w:pPr>
            <w:r>
              <w:rPr>
                <w:sz w:val="4"/>
                <w:szCs w:val="4"/>
              </w:rPr>
            </w:r>
          </w:p>
        </w:tc>
        <w:tc>
          <w:tcPr>
            <w:tcW w:w="143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$ 7,846.55 </w:t>
            </w:r>
          </w:p>
        </w:tc>
      </w:tr>
      <w:tr>
        <w:trPr/>
        <w:tc>
          <w:tcPr>
            <w:tcW w:w="4721" w:type="dxa"/>
            <w:gridSpan w:val="5"/>
            <w:tcBorders/>
            <w:vAlign w:val="center"/>
          </w:tcPr>
          <w:p>
            <w:pPr>
              <w:pStyle w:val="TableContents"/>
              <w:bidi w:val="0"/>
              <w:spacing w:before="0" w:after="0"/>
              <w:ind w:left="0" w:right="0" w:hanging="0"/>
              <w:jc w:val="right"/>
              <w:rPr/>
            </w:pPr>
            <w:r>
              <w:rPr/>
              <w:t xml:space="preserve">Total Fee Offsets: </w:t>
            </w:r>
          </w:p>
        </w:tc>
        <w:tc>
          <w:tcPr>
            <w:tcW w:w="122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721" w:type="dxa"/>
            <w:gridSpan w:val="5"/>
            <w:tcBorders/>
            <w:vAlign w:val="center"/>
          </w:tcPr>
          <w:p>
            <w:pPr>
              <w:pStyle w:val="TableContents"/>
              <w:bidi w:val="0"/>
              <w:spacing w:before="0" w:after="0"/>
              <w:ind w:left="0" w:right="0" w:hanging="0"/>
              <w:jc w:val="right"/>
              <w:rPr/>
            </w:pPr>
            <w:r>
              <w:rPr/>
              <w:t xml:space="preserve">Net Fee Due: </w:t>
            </w:r>
          </w:p>
        </w:tc>
        <w:tc>
          <w:tcPr>
            <w:tcW w:w="122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0"/>
              <w:ind w:left="0" w:right="0" w:hanging="0"/>
              <w:jc w:val="right"/>
              <w:rPr/>
            </w:pPr>
            <w:bookmarkStart w:id="7" w:name="NetFeeAmt"/>
            <w:bookmarkEnd w:id="7"/>
            <w:r>
              <w:rPr/>
              <w:t xml:space="preserve">$ 7,846.55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416(a) under the Securities Act of 1933, as amended (the Securities Act), this Registration Statement also covers an indeterminate number of additional shares of Class A common stock, par value $0.0001 per share (Class A common stock), of i3 Verticals, Inc. (the Registrant) which may be offered and issued pursuant to the Registrants 2018 Equity Incentive Plan (the 2018 Plan) in order to prevent dilution resulting from stock splits, stock dividends or similar transactions. (2) Reflects automatic increases to the number of shares of Class A common stock reserved for issuance pursuant to future awards under the 2018 Plan, which annual increases are provided for in the 2018 Plan. (3) Estimated in accordance with Rule 457(c) and Rule 457(h) under the Securities Act solely for the purpose of calculating the registration fee on the basis of $21.58 per share, which is the average of the high and low prices of Class A common stock, as reported on the Nasdaq Global Select Market, on February 13, 2026.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before="0" w:after="0"/>
        <w:jc w:val="left"/>
        <w:rPr/>
      </w:pPr>
      <w:r>
        <w:rPr/>
      </w:r>
    </w:p>
    <w:tbl>
      <w:tblPr>
        <w:tblW w:w="3596" w:type="dxa"/>
        <w:jc w:val="left"/>
        <w:tblInd w:w="0" w:type="dxa"/>
        <w:tblLayout w:type="fixed"/>
        <w:tblCellMar>
          <w:top w:w="28" w:type="dxa"/>
          <w:left w:w="28" w:type="dxa"/>
          <w:bottom w:w="28" w:type="dxa"/>
          <w:right w:w="28" w:type="dxa"/>
        </w:tblCellMar>
      </w:tblPr>
      <w:tblGrid>
        <w:gridCol w:w="1152"/>
        <w:gridCol w:w="1012"/>
        <w:gridCol w:w="1432"/>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190750" cy="2381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16"/>
                          <a:stretch>
                            <a:fillRect/>
                          </a:stretch>
                        </pic:blipFill>
                        <pic:spPr bwMode="auto">
                          <a:xfrm>
                            <a:off x="0" y="0"/>
                            <a:ext cx="2190750" cy="238125"/>
                          </a:xfrm>
                          <a:prstGeom prst="rect">
                            <a:avLst/>
                          </a:prstGeom>
                        </pic:spPr>
                      </pic:pic>
                    </a:graphicData>
                  </a:graphic>
                </wp:inline>
              </w:drawing>
            </w:r>
          </w:p>
        </w:tc>
      </w:tr>
      <w:tr>
        <w:trPr/>
        <w:tc>
          <w:tcPr>
            <w:tcW w:w="3596"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333" w:before="0" w:after="0"/>
              <w:jc w:val="center"/>
              <w:rPr>
                <w:rFonts w:ascii="Arial;sans-serif" w:hAnsi="Arial;sans-serif"/>
                <w:b w:val="false"/>
                <w:color w:val="000000"/>
                <w:sz w:val="14"/>
              </w:rPr>
            </w:pPr>
            <w:r>
              <w:rPr>
                <w:rFonts w:ascii="Arial;sans-serif" w:hAnsi="Arial;sans-serif"/>
                <w:b w:val="false"/>
                <w:color w:val="000000"/>
                <w:sz w:val="14"/>
              </w:rPr>
              <w:t>21 Platform Way South, Suite 3500</w:t>
            </w:r>
          </w:p>
          <w:p>
            <w:pPr>
              <w:pStyle w:val="TableContents"/>
              <w:bidi w:val="0"/>
              <w:spacing w:lineRule="auto" w:line="333" w:before="0" w:after="0"/>
              <w:jc w:val="center"/>
              <w:rPr>
                <w:rFonts w:ascii="Arial;sans-serif" w:hAnsi="Arial;sans-serif"/>
                <w:b w:val="false"/>
                <w:color w:val="000000"/>
                <w:sz w:val="14"/>
              </w:rPr>
            </w:pPr>
            <w:r>
              <w:rPr>
                <w:rFonts w:ascii="Arial;sans-serif" w:hAnsi="Arial;sans-serif"/>
                <w:b w:val="false"/>
                <w:color w:val="000000"/>
                <w:sz w:val="14"/>
              </w:rPr>
              <w:t>Nashville, TN 37203</w:t>
            </w:r>
          </w:p>
          <w:p>
            <w:pPr>
              <w:pStyle w:val="TableContents"/>
              <w:bidi w:val="0"/>
              <w:spacing w:lineRule="auto" w:line="333" w:before="0" w:after="0"/>
              <w:jc w:val="center"/>
              <w:rPr>
                <w:rFonts w:ascii="Arial;sans-serif" w:hAnsi="Arial;sans-serif"/>
                <w:b w:val="false"/>
                <w:color w:val="000000"/>
                <w:sz w:val="14"/>
              </w:rPr>
            </w:pPr>
            <w:r>
              <w:rPr>
                <w:rFonts w:ascii="Arial;sans-serif" w:hAnsi="Arial;sans-serif"/>
                <w:b w:val="false"/>
                <w:color w:val="000000"/>
                <w:sz w:val="14"/>
              </w:rPr>
              <w:t>(615) 742-6200</w:t>
            </w:r>
          </w:p>
        </w:tc>
      </w:tr>
    </w:tbl>
    <w:p>
      <w:pPr>
        <w:pStyle w:val="TextBody"/>
        <w:bidi w:val="0"/>
        <w:spacing w:before="240" w:after="283"/>
        <w:jc w:val="left"/>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February 18, 2026</w: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i3 Verticals, Inc.</w: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40 Burton Hills Blvd, Suite 415</w: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Nashville, Tennessee 37215</w:t>
      </w:r>
    </w:p>
    <w:p>
      <w:pPr>
        <w:pStyle w:val="TextBody"/>
        <w:bidi w:val="0"/>
        <w:spacing w:before="0" w:after="0"/>
        <w:ind w:left="0" w:right="0" w:firstLine="720"/>
        <w:jc w:val="both"/>
        <w:rPr/>
      </w:pPr>
      <w:r>
        <w:rPr/>
      </w:r>
    </w:p>
    <w:p>
      <w:pPr>
        <w:pStyle w:val="TextBody"/>
        <w:bidi w:val="0"/>
        <w:spacing w:lineRule="auto" w:line="333"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 xml:space="preserve">Re:    Registration Statement on Form S-8 of i3 Verticals, Inc. </w:t>
      </w:r>
    </w:p>
    <w:p>
      <w:pPr>
        <w:pStyle w:val="TextBody"/>
        <w:bidi w:val="0"/>
        <w:spacing w:before="0" w:after="0"/>
        <w:ind w:left="0" w:right="0" w:firstLine="720"/>
        <w:jc w:val="both"/>
        <w:rPr/>
      </w:pPr>
      <w:r>
        <w:rPr/>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333" w:before="0" w:after="240"/>
        <w:ind w:left="0" w:right="0" w:firstLine="720"/>
        <w:jc w:val="left"/>
        <w:rPr/>
      </w:pPr>
      <w:r>
        <w:rPr>
          <w:rFonts w:ascii="Times New Roman;serif" w:hAnsi="Times New Roman;serif"/>
          <w:b w:val="false"/>
          <w:color w:val="000000"/>
          <w:sz w:val="24"/>
        </w:rPr>
        <w:t>We have acted as counsel to i3 Verticals,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in connection with the preparation of a Registration Statement on Form S-8 (the “</w:t>
      </w:r>
      <w:r>
        <w:rPr>
          <w:rFonts w:ascii="Times New Roman;serif" w:hAnsi="Times New Roman;serif"/>
          <w:b/>
          <w:color w:val="000000"/>
          <w:sz w:val="24"/>
        </w:rPr>
        <w:t>Registration Statement</w:t>
      </w:r>
      <w:r>
        <w:rPr>
          <w:color w:val="000000"/>
        </w:rPr>
        <w:t>”</w:t>
      </w:r>
      <w:r>
        <w:rPr>
          <w:rFonts w:ascii="Times New Roman;serif" w:hAnsi="Times New Roman;serif"/>
          <w:b w:val="false"/>
          <w:color w:val="000000"/>
          <w:sz w:val="24"/>
        </w:rPr>
        <w:t>) related to 2,632,896 shares of the Company’s Class A common stock, par value $0.0001 per share (“</w:t>
      </w:r>
      <w:r>
        <w:rPr>
          <w:rFonts w:ascii="Times New Roman;serif" w:hAnsi="Times New Roman;serif"/>
          <w:b/>
          <w:color w:val="000000"/>
          <w:sz w:val="24"/>
        </w:rPr>
        <w:t>Common Stock</w:t>
      </w:r>
      <w:r>
        <w:rPr>
          <w:color w:val="000000"/>
        </w:rPr>
        <w:t>”</w:t>
      </w:r>
      <w:r>
        <w:rPr>
          <w:rFonts w:ascii="Times New Roman;serif" w:hAnsi="Times New Roman;serif"/>
          <w:b w:val="false"/>
          <w:color w:val="000000"/>
          <w:sz w:val="24"/>
        </w:rPr>
        <w:t>), available for issuance pursuant to the Company’s 2018 Equity Incentive Plan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xml:space="preserve">). </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this opinion, we have examined and relied upon such records, documents, certificates, and other instruments as we have deemed necessary or appropriate in order to express the opinions hereinafter set forth. We have also assumed the legal capacity of all natural persons, the genuineness of all signatures, the authenticity of all documents submitted to us as originals, the conformity to original documents of all documents submitted to us as copies, the authenticity of the originals of such latter documents, the legal competence of all signatories to such documents, and, except to the extent we express an opinion as to due authorization in the next paragraph of this letter, the due authorization, execution and delivery of all documents by the parties thereto. As to various questions of fact relevant to the opinion expressed herein, we have relied upon, and assume the accuracy of, certificates and oral or written statements and other information of or from public officials and officers and representatives of the Company.</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Based upon and subject to the qualifications, assumptions and limitations set forth herein, we are of the opinion that the shares of Common Stock issuable in connection with the Plan have been duly authorized and, when issued in accordance with the terms of the Plan, will be legally issued, fully paid and non-assessable.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opinions expressed above are limited to the General Corporation Law of the State of Delaware (which includes applicable provisions of the Delaware Constitution and reported judicial decisions interpreting the General Corporation Law of the State of Delaware and the Delaware Constitution).</w:t>
      </w:r>
    </w:p>
    <w:p>
      <w:pPr>
        <w:pStyle w:val="TextBody"/>
        <w:bidi w:val="0"/>
        <w:spacing w:lineRule="auto" w:line="333" w:before="0" w:after="240"/>
        <w:ind w:left="0" w:right="0" w:firstLine="720"/>
        <w:jc w:val="both"/>
        <w:rPr/>
      </w:pPr>
      <w:r>
        <w:rPr>
          <w:rFonts w:ascii="Times New Roman;serif" w:hAnsi="Times New Roman;serif"/>
          <w:b w:val="false"/>
          <w:color w:val="000000"/>
          <w:sz w:val="24"/>
        </w:rPr>
        <w:t>We hereby consent to the filing of this opinion with the Securities and Exchange Commission (the “</w:t>
      </w:r>
      <w:r>
        <w:rPr>
          <w:rFonts w:ascii="Times New Roman;serif" w:hAnsi="Times New Roman;serif"/>
          <w:b/>
          <w:color w:val="000000"/>
          <w:sz w:val="24"/>
        </w:rPr>
        <w:t>Commission</w:t>
      </w:r>
      <w:r>
        <w:rPr>
          <w:color w:val="000000"/>
        </w:rPr>
        <w:t>”</w:t>
      </w:r>
      <w:r>
        <w:rPr>
          <w:rFonts w:ascii="Times New Roman;serif" w:hAnsi="Times New Roman;serif"/>
          <w:b w:val="false"/>
          <w:color w:val="000000"/>
          <w:sz w:val="24"/>
        </w:rPr>
        <w:t>) as Exhibit 5.1 to the Registration Statement. In giving this consent, we do not thereby admit that we are in the category of persons whose consent is required under Section 7 of the Securities Act of 1933, as amended, or the rules and regulations of the Commission.</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is limited to the specific issues addressed herein, and no opinion may be inferred or implied beyond that expressly stated herein.</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is furnished to you in connection with the filing of the Registration Statement. Our opinion is rendered as of the date hereof and we assume no obligation to advise you of changes in law or fact (or the effect thereof on the opinions expressed herein) that hereafter may come to our attention.</w:t>
      </w:r>
    </w:p>
    <w:tbl>
      <w:tblPr>
        <w:tblW w:w="2819" w:type="dxa"/>
        <w:jc w:val="left"/>
        <w:tblInd w:w="0" w:type="dxa"/>
        <w:tblLayout w:type="fixed"/>
        <w:tblCellMar>
          <w:top w:w="28" w:type="dxa"/>
          <w:left w:w="28" w:type="dxa"/>
          <w:bottom w:w="28" w:type="dxa"/>
          <w:right w:w="28" w:type="dxa"/>
        </w:tblCellMar>
      </w:tblPr>
      <w:tblGrid>
        <w:gridCol w:w="902"/>
        <w:gridCol w:w="791"/>
        <w:gridCol w:w="1126"/>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75" w:after="30"/>
              <w:jc w:val="left"/>
              <w:rPr/>
            </w:pPr>
            <w:r>
              <w:rPr>
                <w:rFonts w:ascii="Times New Roman;serif" w:hAnsi="Times New Roman;serif"/>
                <w:b w:val="false"/>
                <w:color w:val="000000"/>
                <w:sz w:val="24"/>
              </w:rPr>
              <w:t xml:space="preserve">Very </w:t>
            </w:r>
            <w:r>
              <w:rPr>
                <w:rFonts w:ascii="Times New Roman;serif" w:hAnsi="Times New Roman;serif"/>
                <w:b w:val="false"/>
                <w:color w:val="000000"/>
                <w:sz w:val="22"/>
              </w:rPr>
              <w:t>truly</w:t>
            </w:r>
            <w:r>
              <w:rPr>
                <w:color w:val="000000"/>
              </w:rPr>
              <w:t xml:space="preserve"> </w:t>
            </w:r>
            <w:r>
              <w:rPr>
                <w:rFonts w:ascii="Times New Roman;serif" w:hAnsi="Times New Roman;serif"/>
                <w:b w:val="false"/>
                <w:color w:val="000000"/>
                <w:sz w:val="24"/>
              </w:rPr>
              <w:t>yours,</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Bass, Berry &amp; Sims PLC</w:t>
            </w:r>
          </w:p>
        </w:tc>
      </w:tr>
    </w:tbl>
    <w:p>
      <w:pPr>
        <w:pStyle w:val="TextBody"/>
        <w:bidi w:val="0"/>
        <w:spacing w:lineRule="auto" w:line="333" w:before="0" w:after="0"/>
        <w:ind w:left="0" w:right="0" w:firstLine="720"/>
        <w:jc w:val="right"/>
        <w:rPr>
          <w:color w:val="000000"/>
        </w:rPr>
      </w:pPr>
      <w:r>
        <w:rPr>
          <w:color w:val="000000"/>
        </w:rPr>
        <w:t>                                </w:t>
      </w:r>
    </w:p>
    <w:p>
      <w:pPr>
        <w:pStyle w:val="TextBody"/>
        <w:bidi w:val="0"/>
        <w:spacing w:lineRule="auto" w:line="333"/>
        <w:jc w:val="both"/>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79095"/>
                <wp:effectExtent l="0" t="0" r="0" b="0"/>
                <wp:wrapNone/>
                <wp:docPr id="7" name="Frame6"/>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23.2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CONSENT OF INDEPENDENT REGISTERED PUBLIC ACCOUNTING FIRM </w:t>
      </w:r>
    </w:p>
    <w:p>
      <w:pPr>
        <w:pStyle w:val="TextBody"/>
        <w:bidi w:val="0"/>
        <w:spacing w:before="0" w:after="0"/>
        <w:jc w:val="both"/>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this Registration Statement on Form S-8 of our reports dated November 21, 2025, relating to the consolidated financial statements of i3 Verticals Inc. and subsidiaries and the effectiveness of i3 Verticals Inc. and subsidiaries’ internal control over financial reporting, appearing in the Annual Report on Form 10-K of i3 Verticals, Inc. for the year ended September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 Deloitte &amp; Touche LLP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Nashville, Tennessee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February 18, 2026</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28688/000172868825000122/iiiv-20250930.htm" TargetMode="External"/><Relationship Id="rId3" Type="http://schemas.openxmlformats.org/officeDocument/2006/relationships/hyperlink" Target="https://www.sec.gov/ix?doc=/Archives/edgar/data/0001728688/000172868826000009/iiiv-20260115.htm" TargetMode="External"/><Relationship Id="rId4" Type="http://schemas.openxmlformats.org/officeDocument/2006/relationships/hyperlink" Target="https://www.sec.gov/Archives/edgar/data/1728688/000172868826000020/iiiv-20251231.htm" TargetMode="External"/><Relationship Id="rId5" Type="http://schemas.openxmlformats.org/officeDocument/2006/relationships/hyperlink" Target="https://www.sec.gov/Archives/edgar/data/1728688/000172868825000118/iiiv-20251117.htm" TargetMode="External"/><Relationship Id="rId6" Type="http://schemas.openxmlformats.org/officeDocument/2006/relationships/hyperlink" Target="https://www.sec.gov/Archives/edgar/data/1728688/000172868826000017/iiiv-20260205.htm" TargetMode="External"/><Relationship Id="rId7" Type="http://schemas.openxmlformats.org/officeDocument/2006/relationships/hyperlink" Target="https://www.sec.gov/Archives/edgar/data/1728688/000162828018007923/i3verticals8-a.htm" TargetMode="External"/><Relationship Id="rId8" Type="http://schemas.openxmlformats.org/officeDocument/2006/relationships/hyperlink" Target="https://www.sec.gov/Archives/edgar/data/1728688/000162828018008317/exhibit318-k.htm" TargetMode="External"/><Relationship Id="rId9" Type="http://schemas.openxmlformats.org/officeDocument/2006/relationships/hyperlink" Target="https://www.sec.gov/Archives/edgar/data/1728688/000162828018008317/exhibit318-k.htm" TargetMode="External"/><Relationship Id="rId10" Type="http://schemas.openxmlformats.org/officeDocument/2006/relationships/hyperlink" Target="https://www.sec.gov/Archives/edgar/data/1728688/000172868822000055/exhibit31.htm" TargetMode="External"/><Relationship Id="rId11" Type="http://schemas.openxmlformats.org/officeDocument/2006/relationships/hyperlink" Target="https://www.sec.gov/Archives/edgar/data/1728688/000172868822000055/exhibit31.htm" TargetMode="External"/><Relationship Id="rId12" Type="http://schemas.openxmlformats.org/officeDocument/2006/relationships/hyperlink" Target="https://www.sec.gov/Archives/edgar/data/1728688/000162828018007205/exhibit41s-1.htm" TargetMode="External"/><Relationship Id="rId13" Type="http://schemas.openxmlformats.org/officeDocument/2006/relationships/hyperlink" Target="https://www.sec.gov/Archives/edgar/data/1728688/000162828018007205/exhibit41s-1.htm" TargetMode="External"/><Relationship Id="rId14" Type="http://schemas.openxmlformats.org/officeDocument/2006/relationships/hyperlink" Target="https://www.sec.gov/Archives/edgar/data/1728688/000162828018007773/exhibit1024s-1a1.htm" TargetMode="External"/><Relationship Id="rId15" Type="http://schemas.openxmlformats.org/officeDocument/2006/relationships/hyperlink" Target="https://www.sec.gov/Archives/edgar/data/1728688/000162828018007773/exhibit1024s-1a1.htm" TargetMode="External"/><Relationship Id="rId16" Type="http://schemas.openxmlformats.org/officeDocument/2006/relationships/image" Target="media/image1.pn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2538</Words>
  <Characters>13612</Characters>
  <CharactersWithSpaces>16159</CharactersWithSpaces>
  <Paragraphs>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