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88251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8825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6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2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Jenkins Decosta</w:t>
              </w:r>
            </w:hyperlink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 w:line="107" w:lineRule="exact"/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2"/>
                  <w:szCs w:val="12"/>
                  <w:color w:val="0000EE"/>
                </w:rPr>
                <w:t xml:space="preserve">i3 Verticals, Inc. </w:t>
              </w:r>
            </w:hyperlink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IIIV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74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42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ind w:left="6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4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02/10/2026</w:t>
            </w:r>
          </w:p>
        </w:tc>
        <w:tc>
          <w:tcPr>
            <w:tcW w:w="2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40 BURTON HILLS BLVD.</w:t>
            </w: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SUITE 415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3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7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ectPr>
          <w:pgSz w:w="11900" w:h="16838" w:orient="portrait"/>
          <w:cols w:equalWidth="0" w:num="1">
            <w:col w:w="11080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5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1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NASHVILLE</w:t>
            </w:r>
          </w:p>
        </w:tc>
        <w:tc>
          <w:tcPr>
            <w:tcW w:w="9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TN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37215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3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50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540" w:space="720"/>
            <w:col w:w="282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6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3140" w:type="dxa"/>
            <w:vAlign w:val="bottom"/>
            <w:gridSpan w:val="1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88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stock, par value $0.0001</w:t>
            </w:r>
          </w:p>
        </w:tc>
        <w:tc>
          <w:tcPr>
            <w:tcW w:w="1140" w:type="dxa"/>
            <w:vAlign w:val="bottom"/>
            <w:gridSpan w:val="2"/>
            <w:vMerge w:val="restart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02/10/2026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6,496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7"/>
                <w:vertAlign w:val="superscript"/>
              </w:rPr>
              <w:t>(1)</w:t>
            </w:r>
          </w:p>
        </w:tc>
        <w:tc>
          <w:tcPr>
            <w:tcW w:w="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1380" w:type="dxa"/>
            <w:vAlign w:val="bottom"/>
            <w:gridSpan w:val="6"/>
            <w:vMerge w:val="restart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10,372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per share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8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40" w:type="dxa"/>
            <w:vAlign w:val="bottom"/>
            <w:tcBorders>
              <w:bottom w:val="single" w:sz="8" w:color="2C2C2C"/>
            </w:tcBorders>
            <w:gridSpan w:val="8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jc w:val="center"/>
              <w:ind w:lef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40" w:type="dxa"/>
            <w:vAlign w:val="bottom"/>
            <w:gridSpan w:val="11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0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620" w:type="dxa"/>
            <w:vAlign w:val="bottom"/>
            <w:gridSpan w:val="19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</w:rPr>
              <w:t>1. Reflects restricted stock units that will vest in full on the first anniversary of the grant date, subject to the Reporting Person's continued service with the Issuer.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Remarks: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6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Paul Maple, Attorney-in-</w:t>
            </w:r>
          </w:p>
        </w:tc>
        <w:tc>
          <w:tcPr>
            <w:tcW w:w="1620" w:type="dxa"/>
            <w:vAlign w:val="bottom"/>
            <w:gridSpan w:val="4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02/12/2026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top w:val="single" w:sz="8" w:color="auto"/>
            </w:tcBorders>
            <w:gridSpan w:val="7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Fact for Decosta Jenkins</w:t>
            </w:r>
          </w:p>
        </w:tc>
        <w:tc>
          <w:tcPr>
            <w:tcW w:w="24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top w:val="single" w:sz="8" w:color="auto"/>
              <w:bottom w:val="single" w:sz="8" w:color="auto"/>
            </w:tcBorders>
            <w:gridSpan w:val="7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6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160" w:type="dxa"/>
            <w:vAlign w:val="bottom"/>
            <w:gridSpan w:val="9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60" w:type="dxa"/>
            <w:vAlign w:val="bottom"/>
            <w:gridSpan w:val="7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3"/>
                <w:szCs w:val="13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Instruction 4 (b)(v).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-2949575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848489" TargetMode="External"/><Relationship Id="rId14" Type="http://schemas.openxmlformats.org/officeDocument/2006/relationships/hyperlink" Target="http://www.sec.gov/cgi-bin/browse-edgar?action=getcompany&amp;CIK=000172868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2026-02-12T16:45:57Z</dcterms:created>
  <dcterms:modified xsi:type="dcterms:W3CDTF">2026-02-12T16:45:57Z</dcterms:modified>
</cp:coreProperties>
</file>